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494" w:rsidRDefault="00A81494" w:rsidP="00F1745E">
      <w:pPr>
        <w:pStyle w:val="P1"/>
        <w:jc w:val="center"/>
        <w:rPr>
          <w:color w:val="FF0000"/>
          <w:lang w:val="tr-TR"/>
        </w:rPr>
      </w:pPr>
    </w:p>
    <w:p w:rsidR="00461B05" w:rsidRPr="00C96C89" w:rsidRDefault="003804A4" w:rsidP="00F1745E">
      <w:pPr>
        <w:pStyle w:val="Balk1"/>
        <w:spacing w:before="120" w:after="120"/>
        <w:jc w:val="center"/>
        <w:rPr>
          <w:rFonts w:ascii="Calibri" w:hAnsi="Calibri" w:cs="Calibri"/>
          <w:sz w:val="32"/>
          <w:szCs w:val="32"/>
          <w:lang w:val="tr-TR"/>
        </w:rPr>
      </w:pPr>
      <w:r>
        <w:rPr>
          <w:iCs/>
          <w:caps w:val="0"/>
          <w:lang w:val="tr-TR"/>
        </w:rPr>
        <w:t xml:space="preserve">ARAS </w:t>
      </w:r>
      <w:r w:rsidR="00215652">
        <w:rPr>
          <w:iCs/>
          <w:caps w:val="0"/>
          <w:lang w:val="tr-TR"/>
        </w:rPr>
        <w:t>YÖNTEMİYLE AVRUPA ÜLKELERİNİN BİLİM VE TEKNOLOJİ PERFORMANSLARININ SIRALANMASI</w:t>
      </w:r>
    </w:p>
    <w:p w:rsidR="00215652" w:rsidRDefault="00215652" w:rsidP="00215652">
      <w:pPr>
        <w:pStyle w:val="P1"/>
        <w:jc w:val="right"/>
        <w:rPr>
          <w:b/>
          <w:lang w:val="tr-TR"/>
        </w:rPr>
      </w:pPr>
    </w:p>
    <w:p w:rsidR="00215652" w:rsidRPr="00215652" w:rsidRDefault="002453DA" w:rsidP="00215652">
      <w:pPr>
        <w:pStyle w:val="P1"/>
        <w:jc w:val="right"/>
        <w:rPr>
          <w:b/>
          <w:lang w:val="tr-TR"/>
        </w:rPr>
      </w:pPr>
      <w:r w:rsidRPr="00215652">
        <w:rPr>
          <w:b/>
          <w:lang w:val="tr-TR"/>
        </w:rPr>
        <w:t>Serap Pelin TÜRKOĞLU</w:t>
      </w:r>
      <w:r w:rsidR="00215652">
        <w:rPr>
          <w:rStyle w:val="DipnotBavurusu"/>
          <w:b/>
          <w:lang w:val="tr-TR"/>
        </w:rPr>
        <w:footnoteReference w:id="1"/>
      </w:r>
    </w:p>
    <w:p w:rsidR="00A81494" w:rsidRPr="0030290B" w:rsidRDefault="00A81494" w:rsidP="00F1745E">
      <w:pPr>
        <w:pStyle w:val="P1"/>
        <w:jc w:val="center"/>
        <w:rPr>
          <w:i/>
          <w:color w:val="FF0000"/>
          <w:lang w:val="tr-TR"/>
        </w:rPr>
      </w:pPr>
    </w:p>
    <w:p w:rsidR="00C74C26" w:rsidRPr="0030290B" w:rsidRDefault="00215652" w:rsidP="00215652">
      <w:pPr>
        <w:pStyle w:val="P1"/>
        <w:rPr>
          <w:b/>
          <w:i/>
          <w:color w:val="000000" w:themeColor="text1"/>
          <w:lang w:val="tr-TR"/>
        </w:rPr>
      </w:pPr>
      <w:r w:rsidRPr="0030290B">
        <w:rPr>
          <w:b/>
          <w:i/>
          <w:color w:val="000000" w:themeColor="text1"/>
          <w:lang w:val="tr-TR"/>
        </w:rPr>
        <w:t>ÖZET</w:t>
      </w:r>
    </w:p>
    <w:p w:rsidR="007301A9" w:rsidRPr="0030290B" w:rsidRDefault="007301A9" w:rsidP="00215652">
      <w:pPr>
        <w:pStyle w:val="P1"/>
        <w:rPr>
          <w:i/>
          <w:color w:val="000000" w:themeColor="text1"/>
          <w:lang w:val="tr-TR"/>
        </w:rPr>
      </w:pPr>
      <w:r w:rsidRPr="0030290B">
        <w:rPr>
          <w:i/>
          <w:color w:val="000000" w:themeColor="text1"/>
          <w:lang w:val="tr-TR"/>
        </w:rPr>
        <w:t>Bilim ve teknoloji</w:t>
      </w:r>
      <w:r w:rsidR="00B05FAC">
        <w:rPr>
          <w:i/>
          <w:color w:val="000000" w:themeColor="text1"/>
          <w:lang w:val="tr-TR"/>
        </w:rPr>
        <w:t>,</w:t>
      </w:r>
      <w:r w:rsidRPr="0030290B">
        <w:rPr>
          <w:i/>
          <w:color w:val="000000" w:themeColor="text1"/>
          <w:lang w:val="tr-TR"/>
        </w:rPr>
        <w:t xml:space="preserve"> ülkelerin </w:t>
      </w:r>
      <w:r w:rsidR="00744633" w:rsidRPr="0030290B">
        <w:rPr>
          <w:i/>
          <w:color w:val="000000" w:themeColor="text1"/>
          <w:lang w:val="tr-TR"/>
        </w:rPr>
        <w:t>sosyoekonomik</w:t>
      </w:r>
      <w:r w:rsidR="00744633" w:rsidRPr="0030290B">
        <w:rPr>
          <w:rStyle w:val="shorttext"/>
          <w:rFonts w:ascii="Arial" w:hAnsi="Arial" w:cs="Arial"/>
          <w:i/>
          <w:color w:val="222222"/>
        </w:rPr>
        <w:t xml:space="preserve"> </w:t>
      </w:r>
      <w:r w:rsidRPr="0030290B">
        <w:rPr>
          <w:i/>
          <w:color w:val="000000" w:themeColor="text1"/>
          <w:lang w:val="tr-TR"/>
        </w:rPr>
        <w:t>g</w:t>
      </w:r>
      <w:r w:rsidR="00DB358C" w:rsidRPr="0030290B">
        <w:rPr>
          <w:i/>
          <w:color w:val="000000" w:themeColor="text1"/>
          <w:lang w:val="tr-TR"/>
        </w:rPr>
        <w:t>elişmelerinde önemli rol oynayan unsurlardır. Ülkeler</w:t>
      </w:r>
      <w:r w:rsidR="0042691D" w:rsidRPr="0030290B">
        <w:rPr>
          <w:i/>
          <w:color w:val="000000" w:themeColor="text1"/>
          <w:lang w:val="tr-TR"/>
        </w:rPr>
        <w:t>in</w:t>
      </w:r>
      <w:r w:rsidR="00DB358C" w:rsidRPr="0030290B">
        <w:rPr>
          <w:i/>
          <w:color w:val="000000" w:themeColor="text1"/>
          <w:lang w:val="tr-TR"/>
        </w:rPr>
        <w:t xml:space="preserve"> bilim ve teknolo</w:t>
      </w:r>
      <w:r w:rsidR="0042691D" w:rsidRPr="0030290B">
        <w:rPr>
          <w:i/>
          <w:color w:val="000000" w:themeColor="text1"/>
          <w:lang w:val="tr-TR"/>
        </w:rPr>
        <w:t>jide ileride olması</w:t>
      </w:r>
      <w:r w:rsidR="00DB358C" w:rsidRPr="0030290B">
        <w:rPr>
          <w:i/>
          <w:color w:val="000000" w:themeColor="text1"/>
          <w:lang w:val="tr-TR"/>
        </w:rPr>
        <w:t xml:space="preserve"> gelişmiş </w:t>
      </w:r>
      <w:r w:rsidR="0042691D" w:rsidRPr="0030290B">
        <w:rPr>
          <w:i/>
          <w:color w:val="000000" w:themeColor="text1"/>
          <w:lang w:val="tr-TR"/>
        </w:rPr>
        <w:t>olduklarının da göstergesidir</w:t>
      </w:r>
      <w:r w:rsidR="001672E4" w:rsidRPr="0030290B">
        <w:rPr>
          <w:i/>
          <w:color w:val="000000" w:themeColor="text1"/>
          <w:lang w:val="tr-TR"/>
        </w:rPr>
        <w:t xml:space="preserve">. </w:t>
      </w:r>
      <w:r w:rsidR="00DB358C" w:rsidRPr="0030290B">
        <w:rPr>
          <w:i/>
          <w:color w:val="000000" w:themeColor="text1"/>
          <w:lang w:val="tr-TR"/>
        </w:rPr>
        <w:t xml:space="preserve">Bu çalışmada 26 Avrupa ülkesinin 2015 yılındaki </w:t>
      </w:r>
      <w:r w:rsidR="008D2B46" w:rsidRPr="0030290B">
        <w:rPr>
          <w:i/>
          <w:color w:val="000000" w:themeColor="text1"/>
          <w:lang w:val="tr-TR"/>
        </w:rPr>
        <w:t>bilim ve teknoloji göstergeleri</w:t>
      </w:r>
      <w:r w:rsidR="00DB358C" w:rsidRPr="0030290B">
        <w:rPr>
          <w:i/>
          <w:color w:val="000000" w:themeColor="text1"/>
          <w:lang w:val="tr-TR"/>
        </w:rPr>
        <w:t xml:space="preserve"> analiz edilerek, </w:t>
      </w:r>
      <w:r w:rsidR="008D2B46" w:rsidRPr="0030290B">
        <w:rPr>
          <w:i/>
          <w:color w:val="000000" w:themeColor="text1"/>
          <w:lang w:val="tr-TR"/>
        </w:rPr>
        <w:t xml:space="preserve">performaslarının </w:t>
      </w:r>
      <w:r w:rsidR="00DB358C" w:rsidRPr="0030290B">
        <w:rPr>
          <w:i/>
          <w:color w:val="000000" w:themeColor="text1"/>
          <w:lang w:val="tr-TR"/>
        </w:rPr>
        <w:t xml:space="preserve">sıralaması elde edilmiştir. Analizler ARAS </w:t>
      </w:r>
      <w:r w:rsidR="00382A30" w:rsidRPr="0030290B">
        <w:rPr>
          <w:i/>
          <w:noProof w:val="0"/>
          <w:lang w:val="tr-TR"/>
        </w:rPr>
        <w:t xml:space="preserve">(Additive Ratio Assessment) </w:t>
      </w:r>
      <w:r w:rsidR="00DB358C" w:rsidRPr="0030290B">
        <w:rPr>
          <w:i/>
          <w:color w:val="000000" w:themeColor="text1"/>
          <w:lang w:val="tr-TR"/>
        </w:rPr>
        <w:t>yöntemiyle gerçekleştirilmiştir.</w:t>
      </w:r>
      <w:r w:rsidR="00F2004D" w:rsidRPr="0030290B">
        <w:rPr>
          <w:i/>
          <w:color w:val="000000" w:themeColor="text1"/>
          <w:lang w:val="tr-TR"/>
        </w:rPr>
        <w:t xml:space="preserve"> İncelenen ülkelerin bilim ve teknoloji performanslarını değerlendirmek için </w:t>
      </w:r>
      <w:r w:rsidR="00F2004D" w:rsidRPr="0030290B">
        <w:rPr>
          <w:i/>
          <w:lang w:val="tr-TR"/>
        </w:rPr>
        <w:t>Ar-Ge araştırmacıları sayısı, Ar-Ge harcaması, patent başvuru sayısı ve yüksek teknoloji ürünü ihracatı değişkenleri kullanılmıştır.</w:t>
      </w:r>
      <w:r w:rsidR="008D2B46" w:rsidRPr="0030290B">
        <w:rPr>
          <w:i/>
          <w:lang w:val="tr-TR"/>
        </w:rPr>
        <w:t xml:space="preserve"> Analiz sonuçları</w:t>
      </w:r>
      <w:r w:rsidR="00E543BD" w:rsidRPr="0030290B">
        <w:rPr>
          <w:i/>
          <w:lang w:val="tr-TR"/>
        </w:rPr>
        <w:t>na</w:t>
      </w:r>
      <w:r w:rsidR="008D2B46" w:rsidRPr="0030290B">
        <w:rPr>
          <w:i/>
          <w:lang w:val="tr-TR"/>
        </w:rPr>
        <w:t xml:space="preserve"> </w:t>
      </w:r>
      <w:r w:rsidR="00E543BD" w:rsidRPr="0030290B">
        <w:rPr>
          <w:i/>
          <w:lang w:val="tr-TR"/>
        </w:rPr>
        <w:t>göre Almanya, Birleşik Krallık, Holanda ve İsveç bilim ve teknoloji performansı açısından ilk sıralarda yer alır</w:t>
      </w:r>
      <w:r w:rsidR="003649CF" w:rsidRPr="0030290B">
        <w:rPr>
          <w:i/>
          <w:lang w:val="tr-TR"/>
        </w:rPr>
        <w:t>ken</w:t>
      </w:r>
      <w:r w:rsidR="00E543BD" w:rsidRPr="0030290B">
        <w:rPr>
          <w:i/>
          <w:lang w:val="tr-TR"/>
        </w:rPr>
        <w:t xml:space="preserve">, Hırvatistan, </w:t>
      </w:r>
      <w:r w:rsidR="003649CF" w:rsidRPr="0030290B">
        <w:rPr>
          <w:i/>
          <w:lang w:val="tr-TR"/>
        </w:rPr>
        <w:t>Letonya ve Romanya için tam tersi durum söz konusudur</w:t>
      </w:r>
      <w:r w:rsidR="00E543BD" w:rsidRPr="0030290B">
        <w:rPr>
          <w:i/>
          <w:lang w:val="tr-TR"/>
        </w:rPr>
        <w:t>.</w:t>
      </w:r>
    </w:p>
    <w:p w:rsidR="00B905AD" w:rsidRPr="0030290B" w:rsidRDefault="00215652" w:rsidP="00215652">
      <w:pPr>
        <w:pStyle w:val="P1"/>
        <w:rPr>
          <w:i/>
          <w:lang w:val="tr-TR"/>
        </w:rPr>
      </w:pPr>
      <w:r w:rsidRPr="0030290B">
        <w:rPr>
          <w:b/>
          <w:i/>
          <w:lang w:val="tr-TR"/>
        </w:rPr>
        <w:t>Anahtar K</w:t>
      </w:r>
      <w:r w:rsidR="00B905AD" w:rsidRPr="0030290B">
        <w:rPr>
          <w:b/>
          <w:i/>
          <w:lang w:val="tr-TR"/>
        </w:rPr>
        <w:t>elimeler:</w:t>
      </w:r>
      <w:r w:rsidR="00B905AD" w:rsidRPr="0030290B">
        <w:rPr>
          <w:i/>
          <w:lang w:val="tr-TR"/>
        </w:rPr>
        <w:t xml:space="preserve"> Bilim, Teknoloji, ARAS Yöntemi, Avrupa Ülkeleri.</w:t>
      </w:r>
    </w:p>
    <w:p w:rsidR="00B905AD" w:rsidRPr="0030290B" w:rsidRDefault="00B905AD" w:rsidP="00215652">
      <w:pPr>
        <w:pStyle w:val="P1"/>
        <w:rPr>
          <w:i/>
          <w:lang w:val="tr-TR"/>
        </w:rPr>
      </w:pPr>
      <w:r w:rsidRPr="0030290B">
        <w:rPr>
          <w:b/>
          <w:i/>
          <w:lang w:val="tr-TR"/>
        </w:rPr>
        <w:t>JEL Kodu:</w:t>
      </w:r>
      <w:r w:rsidRPr="0030290B">
        <w:rPr>
          <w:i/>
          <w:lang w:val="tr-TR"/>
        </w:rPr>
        <w:t xml:space="preserve"> C60, C69, O30</w:t>
      </w:r>
      <w:r w:rsidR="00215652" w:rsidRPr="0030290B">
        <w:rPr>
          <w:i/>
          <w:lang w:val="tr-TR"/>
        </w:rPr>
        <w:t>.</w:t>
      </w:r>
    </w:p>
    <w:p w:rsidR="003E3EDC" w:rsidRDefault="003E3EDC" w:rsidP="0030290B">
      <w:pPr>
        <w:pStyle w:val="P1"/>
        <w:ind w:firstLine="709"/>
        <w:jc w:val="center"/>
        <w:rPr>
          <w:b/>
          <w:lang w:val="en-GB"/>
        </w:rPr>
      </w:pPr>
    </w:p>
    <w:p w:rsidR="0030290B" w:rsidRPr="0030290B" w:rsidRDefault="0030290B" w:rsidP="0030290B">
      <w:pPr>
        <w:pStyle w:val="P1"/>
        <w:ind w:firstLine="709"/>
        <w:jc w:val="center"/>
        <w:rPr>
          <w:b/>
          <w:lang w:val="en-GB"/>
        </w:rPr>
      </w:pPr>
      <w:r w:rsidRPr="0030290B">
        <w:rPr>
          <w:b/>
          <w:lang w:val="en-GB"/>
        </w:rPr>
        <w:t>RANKING OF SCIENCE AND TECHNOLOGY PERFORMANCE OF EUROPEAN COUNTRIES BY ARAS (ADDITIVE RATIO ASSESSMENT) METHOD</w:t>
      </w:r>
    </w:p>
    <w:p w:rsidR="0030290B" w:rsidRPr="0030290B" w:rsidRDefault="0030290B" w:rsidP="0030290B">
      <w:pPr>
        <w:pStyle w:val="P1"/>
        <w:rPr>
          <w:b/>
          <w:i/>
          <w:color w:val="000000" w:themeColor="text1"/>
          <w:lang w:val="en-GB"/>
        </w:rPr>
      </w:pPr>
      <w:r w:rsidRPr="0030290B">
        <w:rPr>
          <w:b/>
          <w:i/>
          <w:color w:val="000000" w:themeColor="text1"/>
          <w:lang w:val="en-GB"/>
        </w:rPr>
        <w:t>ABSTRACT</w:t>
      </w:r>
    </w:p>
    <w:p w:rsidR="0030290B" w:rsidRPr="0030290B" w:rsidRDefault="0030290B" w:rsidP="0030290B">
      <w:pPr>
        <w:rPr>
          <w:rFonts w:ascii="Arial" w:hAnsi="Arial" w:cs="Arial"/>
          <w:i/>
          <w:color w:val="777777"/>
          <w:sz w:val="20"/>
          <w:szCs w:val="20"/>
          <w:lang w:val="en-GB" w:eastAsia="tr-TR"/>
        </w:rPr>
      </w:pPr>
      <w:r w:rsidRPr="0030290B">
        <w:rPr>
          <w:i/>
          <w:color w:val="000000" w:themeColor="text1"/>
          <w:lang w:val="en-GB"/>
        </w:rPr>
        <w:t xml:space="preserve">Science and technology are </w:t>
      </w:r>
      <w:r w:rsidRPr="0030290B">
        <w:rPr>
          <w:i/>
          <w:lang w:val="en-GB"/>
        </w:rPr>
        <w:t>the factors that play an important role in the socioeconomic development of countries. Advanced level of science and technology for countries is also a sign of their development. In this study, 26 European countries' science and technology indicators for 2015 were analysed by using ARAS (Additive Ratio Assessment) method and the rank of their performances was obtained. The number of R&amp;D researchers</w:t>
      </w:r>
      <w:r w:rsidRPr="0030290B">
        <w:rPr>
          <w:i/>
          <w:color w:val="000000" w:themeColor="text1"/>
          <w:lang w:val="en-GB"/>
        </w:rPr>
        <w:t>, R&amp;D expenditure, number of patent applications and high technology exports were used to evaluate the science and technology performances of the countries. According to the analysis results, Germany, the UK, the Netherlands, and Sweden are in the first place in terms of science and technology performance, whereas Croatia, Latvia and Romania have the opposite situation.</w:t>
      </w:r>
    </w:p>
    <w:p w:rsidR="00A35107" w:rsidRPr="0030290B" w:rsidRDefault="00A35107" w:rsidP="0030290B">
      <w:pPr>
        <w:pStyle w:val="P1"/>
        <w:rPr>
          <w:i/>
          <w:noProof w:val="0"/>
        </w:rPr>
      </w:pPr>
      <w:r w:rsidRPr="0030290B">
        <w:rPr>
          <w:b/>
          <w:i/>
        </w:rPr>
        <w:t>Keywords:</w:t>
      </w:r>
      <w:r w:rsidRPr="0030290B">
        <w:rPr>
          <w:i/>
        </w:rPr>
        <w:t xml:space="preserve"> </w:t>
      </w:r>
      <w:r w:rsidRPr="0030290B">
        <w:rPr>
          <w:i/>
          <w:noProof w:val="0"/>
        </w:rPr>
        <w:t>Science, Technology, ARAS Method, European Countries.</w:t>
      </w:r>
    </w:p>
    <w:p w:rsidR="00A35107" w:rsidRPr="0030290B" w:rsidRDefault="00A35107" w:rsidP="0030290B">
      <w:pPr>
        <w:pStyle w:val="P1"/>
        <w:rPr>
          <w:i/>
          <w:color w:val="000000"/>
        </w:rPr>
      </w:pPr>
      <w:r w:rsidRPr="0030290B">
        <w:rPr>
          <w:b/>
          <w:i/>
        </w:rPr>
        <w:t>JEL Codes:</w:t>
      </w:r>
      <w:r w:rsidRPr="0030290B">
        <w:rPr>
          <w:i/>
        </w:rPr>
        <w:t xml:space="preserve"> </w:t>
      </w:r>
      <w:r w:rsidRPr="0030290B">
        <w:rPr>
          <w:i/>
          <w:lang w:val="tr-TR"/>
        </w:rPr>
        <w:t>C60, C69, O30</w:t>
      </w:r>
      <w:r w:rsidR="0030290B">
        <w:rPr>
          <w:i/>
          <w:lang w:val="tr-TR"/>
        </w:rPr>
        <w:t>.</w:t>
      </w:r>
    </w:p>
    <w:p w:rsidR="00B905AD" w:rsidRPr="006614E3" w:rsidRDefault="00B905AD" w:rsidP="006614E3">
      <w:pPr>
        <w:pStyle w:val="P1"/>
        <w:rPr>
          <w:b/>
          <w:color w:val="000000" w:themeColor="text1"/>
          <w:lang w:val="tr-TR"/>
        </w:rPr>
      </w:pPr>
    </w:p>
    <w:p w:rsidR="00461B05" w:rsidRPr="00F84567" w:rsidRDefault="00461B05" w:rsidP="00215652">
      <w:pPr>
        <w:pStyle w:val="Balk1"/>
        <w:spacing w:before="120" w:after="120"/>
        <w:rPr>
          <w:sz w:val="24"/>
          <w:szCs w:val="24"/>
          <w:lang w:val="tr-TR"/>
        </w:rPr>
      </w:pPr>
      <w:r w:rsidRPr="00F84567">
        <w:rPr>
          <w:sz w:val="24"/>
          <w:szCs w:val="24"/>
          <w:lang w:val="tr-TR"/>
        </w:rPr>
        <w:lastRenderedPageBreak/>
        <w:t xml:space="preserve">1. </w:t>
      </w:r>
      <w:r w:rsidR="00215652" w:rsidRPr="00F84567">
        <w:rPr>
          <w:caps w:val="0"/>
          <w:sz w:val="24"/>
          <w:szCs w:val="24"/>
          <w:lang w:val="tr-TR"/>
        </w:rPr>
        <w:t xml:space="preserve">GİRİŞ </w:t>
      </w:r>
    </w:p>
    <w:p w:rsidR="00B36613" w:rsidRDefault="005F58B3" w:rsidP="00215652">
      <w:pPr>
        <w:pStyle w:val="P1"/>
      </w:pPr>
      <w:r>
        <w:t>Ü</w:t>
      </w:r>
      <w:r w:rsidR="00EF195C">
        <w:t xml:space="preserve">lkelerin </w:t>
      </w:r>
      <w:r>
        <w:t xml:space="preserve">günümüz rekabet ortamında </w:t>
      </w:r>
      <w:r w:rsidR="00EF195C">
        <w:t>öne çıkabilmeleri</w:t>
      </w:r>
      <w:r>
        <w:t xml:space="preserve"> için bilim ve teknoloji faaliyetlerine önem vermeleri gerekmektedir.</w:t>
      </w:r>
      <w:r w:rsidR="00E47C6C">
        <w:t xml:space="preserve"> Çünkü bilim ve teknoloji faaliyetlerinin </w:t>
      </w:r>
      <w:r w:rsidR="00E47C6C" w:rsidRPr="00642595">
        <w:t>ekonomik rekabet</w:t>
      </w:r>
      <w:r w:rsidR="00E47C6C">
        <w:t>te</w:t>
      </w:r>
      <w:r w:rsidR="00E47C6C" w:rsidRPr="00642595">
        <w:t xml:space="preserve"> ve ulusa</w:t>
      </w:r>
      <w:r w:rsidR="00E47C6C">
        <w:t>l kalkınmadaki rolü büyüktür</w:t>
      </w:r>
      <w:r w:rsidR="00E47C6C" w:rsidRPr="00642595">
        <w:t>.</w:t>
      </w:r>
      <w:r w:rsidR="00E25796">
        <w:t xml:space="preserve"> </w:t>
      </w:r>
      <w:r w:rsidR="00323AE2" w:rsidRPr="00323AE2">
        <w:t>Bu bağlamda ülkeler, toplumda ve ekonomide bilim-teknoloji-yenilik ortamı geliştirmek, sürdürülebilir ekonomik büyümeyi ve küresel rekabet edebilirliği artırmak için ekonomi politikaları tasarlamalıdırlar</w:t>
      </w:r>
      <w:r w:rsidR="00BB12D6">
        <w:t xml:space="preserve"> (Şener ve Sarıdoğan, 2011: 816)</w:t>
      </w:r>
      <w:r w:rsidR="00323AE2" w:rsidRPr="00323AE2">
        <w:t>.</w:t>
      </w:r>
    </w:p>
    <w:p w:rsidR="00550535" w:rsidRDefault="00347BE9" w:rsidP="00B36613">
      <w:pPr>
        <w:pStyle w:val="P1"/>
        <w:ind w:firstLine="709"/>
      </w:pPr>
      <w:r w:rsidRPr="00BD4B70">
        <w:t xml:space="preserve">Bilim ve teknoloji, ekonomik fırsat ve büyüme için stratejik önem taşımaktadır. Uzun yıllar boyunca, politika yapıcılar, ekonomik büyüme ile </w:t>
      </w:r>
      <w:r w:rsidR="00BD4B70" w:rsidRPr="00BD4B70">
        <w:t>bilim ve teknolojide</w:t>
      </w:r>
      <w:r w:rsidRPr="00BD4B70">
        <w:t xml:space="preserve"> üretken yatırımlar arasında yakın bir </w:t>
      </w:r>
      <w:r w:rsidR="00215652">
        <w:t>bağ olduğundan şüphe etmeşler</w:t>
      </w:r>
      <w:r w:rsidRPr="00BD4B70">
        <w:t xml:space="preserve"> ve şimdi, kanıtlar</w:t>
      </w:r>
      <w:r w:rsidR="00BD4B70" w:rsidRPr="00BD4B70">
        <w:t xml:space="preserve"> bunu üç temel yolla desteklemektedir</w:t>
      </w:r>
      <w:r w:rsidR="00BC5C07">
        <w:t xml:space="preserve"> (</w:t>
      </w:r>
      <w:r w:rsidR="00BC5C07" w:rsidRPr="00CC347F">
        <w:t>Watson</w:t>
      </w:r>
      <w:r w:rsidR="00BC5C07">
        <w:t xml:space="preserve"> vd., 2003: 9-10)</w:t>
      </w:r>
      <w:r w:rsidRPr="00BD4B70">
        <w:t>:</w:t>
      </w:r>
    </w:p>
    <w:p w:rsidR="00671E68" w:rsidRDefault="00671E68" w:rsidP="00215652">
      <w:pPr>
        <w:pStyle w:val="P1"/>
      </w:pPr>
      <w:r w:rsidRPr="00671E68">
        <w:t xml:space="preserve">Birincisi, </w:t>
      </w:r>
      <w:r w:rsidR="00215652" w:rsidRPr="00671E68">
        <w:t>Sanayi Devrimi</w:t>
      </w:r>
      <w:r w:rsidR="00215652">
        <w:t>’</w:t>
      </w:r>
      <w:r w:rsidR="00215652" w:rsidRPr="00671E68">
        <w:t xml:space="preserve">nden </w:t>
      </w:r>
      <w:r w:rsidRPr="00671E68">
        <w:t xml:space="preserve">beri gelişmiş ülkeler en çok </w:t>
      </w:r>
      <w:r w:rsidRPr="00BD4B70">
        <w:t>bilim ve teknoloji</w:t>
      </w:r>
      <w:r>
        <w:t xml:space="preserve"> </w:t>
      </w:r>
      <w:r w:rsidRPr="00671E68">
        <w:t>kapasitesine sahip olmuş ve en hızlı şekilde büyümüştür. 1870'ten günümüze, bilimsel ve teknolojik açıdan gelişmiş ü</w:t>
      </w:r>
      <w:r w:rsidR="001158EF">
        <w:t>lkeler gittikçe zenginleşmiştir ve büyüme oranları düşmemiştir.</w:t>
      </w:r>
    </w:p>
    <w:p w:rsidR="00397A78" w:rsidRDefault="00397A78" w:rsidP="00215652">
      <w:pPr>
        <w:pStyle w:val="P1"/>
      </w:pPr>
      <w:r w:rsidRPr="00397A78">
        <w:t>İkincisi, Ar-Ge'ye geri dönüşlerin, gel</w:t>
      </w:r>
      <w:r w:rsidR="00DD5F7A">
        <w:t>işmiş ve gelişmekte olan ülkelerde</w:t>
      </w:r>
      <w:r w:rsidRPr="00397A78">
        <w:t xml:space="preserve"> neredeyse t</w:t>
      </w:r>
      <w:r w:rsidR="00DD5F7A">
        <w:t>üm sektörlerde sürekli olarak pozitif ve yüksek olduğu görülmüştür</w:t>
      </w:r>
      <w:r w:rsidRPr="00397A78">
        <w:t xml:space="preserve">. </w:t>
      </w:r>
      <w:r w:rsidR="005E3843" w:rsidRPr="005E3843">
        <w:t>Bu bulgular inovasyon ve büyüme arasında bir korelasyon oluşturulmasına yardımcı olmuştur.</w:t>
      </w:r>
    </w:p>
    <w:p w:rsidR="0091069B" w:rsidRPr="00BD4B70" w:rsidRDefault="00C722E3" w:rsidP="00215652">
      <w:pPr>
        <w:pStyle w:val="P1"/>
      </w:pPr>
      <w:r>
        <w:t xml:space="preserve">Üçüncüsü, </w:t>
      </w:r>
      <w:r w:rsidR="0091069B" w:rsidRPr="009B26A0">
        <w:t>teknolojik kapasite</w:t>
      </w:r>
      <w:r w:rsidR="003F52DA">
        <w:t>nin</w:t>
      </w:r>
      <w:r w:rsidR="00215652">
        <w:t>,</w:t>
      </w:r>
      <w:r w:rsidR="0091069B" w:rsidRPr="009B26A0">
        <w:t xml:space="preserve"> gelişmekte olan bazı ülkelerde (örneğin Çin, Hindistan, Brezilya, Meksika, Filipinler, Tayland, Malezya) hızlandırılmış büyümeye katkıda </w:t>
      </w:r>
      <w:r>
        <w:t>bulunduğu görülmüştür</w:t>
      </w:r>
      <w:r w:rsidR="0091069B" w:rsidRPr="009B26A0">
        <w:t>. Yüksek teknolojili imalat ürünleri ihracatı hızlı bir şekilde büyümüş ve gelişmekte olan ülkeler</w:t>
      </w:r>
      <w:r>
        <w:t>de</w:t>
      </w:r>
      <w:r w:rsidR="0091069B" w:rsidRPr="009B26A0">
        <w:t xml:space="preserve"> ticarette</w:t>
      </w:r>
      <w:r w:rsidR="001D5664">
        <w:t xml:space="preserve"> daha büyük paya sahip olmuştur</w:t>
      </w:r>
      <w:r w:rsidR="0091069B" w:rsidRPr="009B26A0">
        <w:t xml:space="preserve">. </w:t>
      </w:r>
    </w:p>
    <w:p w:rsidR="00A81494" w:rsidRPr="00024927" w:rsidRDefault="00024927" w:rsidP="00215652">
      <w:pPr>
        <w:pStyle w:val="P1"/>
        <w:rPr>
          <w:lang w:val="tr-TR"/>
        </w:rPr>
      </w:pPr>
      <w:r>
        <w:rPr>
          <w:lang w:val="tr-TR"/>
        </w:rPr>
        <w:t xml:space="preserve">Çalışmanın ikinci bölümünde </w:t>
      </w:r>
      <w:r w:rsidR="00547151">
        <w:rPr>
          <w:lang w:val="tr-TR"/>
        </w:rPr>
        <w:t xml:space="preserve">ülkelerin bilim ve teknoloji performanslarının incelendiği </w:t>
      </w:r>
      <w:r>
        <w:rPr>
          <w:lang w:val="tr-TR"/>
        </w:rPr>
        <w:t>literatür tartışılmıştır.</w:t>
      </w:r>
      <w:r w:rsidR="00B7434E">
        <w:rPr>
          <w:lang w:val="tr-TR"/>
        </w:rPr>
        <w:t xml:space="preserve"> </w:t>
      </w:r>
      <w:r>
        <w:rPr>
          <w:lang w:val="tr-TR"/>
        </w:rPr>
        <w:t>Üçüncü bölümünde veri seti, uygulanan yöntem ve ça</w:t>
      </w:r>
      <w:r w:rsidR="002D5E6A">
        <w:rPr>
          <w:lang w:val="tr-TR"/>
        </w:rPr>
        <w:t>lışmanın bulguları analiz edilmiştir</w:t>
      </w:r>
      <w:r>
        <w:rPr>
          <w:lang w:val="tr-TR"/>
        </w:rPr>
        <w:t>. Son bölümde ise çalışmanın sonuç ve değerlendirilmesi yapılmıştır.</w:t>
      </w:r>
    </w:p>
    <w:p w:rsidR="00461B05" w:rsidRDefault="00215652" w:rsidP="00215652">
      <w:pPr>
        <w:pStyle w:val="Balk1"/>
        <w:spacing w:before="120" w:after="120"/>
        <w:rPr>
          <w:caps w:val="0"/>
          <w:sz w:val="24"/>
          <w:szCs w:val="24"/>
          <w:lang w:val="tr-TR"/>
        </w:rPr>
      </w:pPr>
      <w:r>
        <w:rPr>
          <w:sz w:val="24"/>
          <w:szCs w:val="24"/>
          <w:lang w:val="tr-TR"/>
        </w:rPr>
        <w:t>2</w:t>
      </w:r>
      <w:r>
        <w:rPr>
          <w:caps w:val="0"/>
          <w:sz w:val="24"/>
          <w:szCs w:val="24"/>
          <w:lang w:val="tr-TR"/>
        </w:rPr>
        <w:t>.</w:t>
      </w:r>
      <w:r w:rsidRPr="00F84567">
        <w:rPr>
          <w:caps w:val="0"/>
          <w:sz w:val="24"/>
          <w:szCs w:val="24"/>
          <w:lang w:val="tr-TR"/>
        </w:rPr>
        <w:t xml:space="preserve"> </w:t>
      </w:r>
      <w:r>
        <w:rPr>
          <w:caps w:val="0"/>
          <w:sz w:val="24"/>
          <w:szCs w:val="24"/>
          <w:lang w:val="tr-TR"/>
        </w:rPr>
        <w:t>LİTERATÜR</w:t>
      </w:r>
    </w:p>
    <w:p w:rsidR="00C810C3" w:rsidRDefault="00F83BFE" w:rsidP="00215652">
      <w:pPr>
        <w:rPr>
          <w:lang w:val="tr-TR"/>
        </w:rPr>
      </w:pPr>
      <w:r>
        <w:rPr>
          <w:lang w:val="tr-TR"/>
        </w:rPr>
        <w:t>B</w:t>
      </w:r>
      <w:r w:rsidR="00A1731C">
        <w:rPr>
          <w:lang w:val="tr-TR"/>
        </w:rPr>
        <w:t xml:space="preserve">ilim ve teknoloji göstergeleri açısından ülkelerin </w:t>
      </w:r>
      <w:r w:rsidR="00D5208D">
        <w:rPr>
          <w:lang w:val="tr-TR"/>
        </w:rPr>
        <w:t xml:space="preserve">performanslarının </w:t>
      </w:r>
      <w:r w:rsidR="00A1731C">
        <w:rPr>
          <w:lang w:val="tr-TR"/>
        </w:rPr>
        <w:t xml:space="preserve">değerlendirildiği sınırlı </w:t>
      </w:r>
      <w:r w:rsidR="00F26EC9">
        <w:rPr>
          <w:lang w:val="tr-TR"/>
        </w:rPr>
        <w:t xml:space="preserve">sayıdaki </w:t>
      </w:r>
      <w:r w:rsidR="00A1731C">
        <w:rPr>
          <w:lang w:val="tr-TR"/>
        </w:rPr>
        <w:t>çalışmalardan bazıları şöyledir:</w:t>
      </w:r>
      <w:r w:rsidR="00215652">
        <w:rPr>
          <w:lang w:val="tr-TR"/>
        </w:rPr>
        <w:t xml:space="preserve"> </w:t>
      </w:r>
      <w:r w:rsidR="00C810C3" w:rsidRPr="00C810C3">
        <w:rPr>
          <w:lang w:val="tr-TR"/>
        </w:rPr>
        <w:t>Kostoff (2008), ABD ve Çin</w:t>
      </w:r>
      <w:r w:rsidR="00452518">
        <w:rPr>
          <w:lang w:val="tr-TR"/>
        </w:rPr>
        <w:t xml:space="preserve"> Halk Cumhuriyeti</w:t>
      </w:r>
      <w:r w:rsidR="00C810C3" w:rsidRPr="00C810C3">
        <w:rPr>
          <w:lang w:val="tr-TR"/>
        </w:rPr>
        <w:t>'</w:t>
      </w:r>
      <w:r w:rsidR="0039238E">
        <w:rPr>
          <w:lang w:val="tr-TR"/>
        </w:rPr>
        <w:t>n</w:t>
      </w:r>
      <w:r w:rsidR="00C810C3" w:rsidRPr="00C810C3">
        <w:rPr>
          <w:lang w:val="tr-TR"/>
        </w:rPr>
        <w:t xml:space="preserve">deki bilim ve teknolojinin göreceli performansını teknik literatürde yansıtıldığı gibi nicelik ve </w:t>
      </w:r>
      <w:r w:rsidR="00CD26F7">
        <w:rPr>
          <w:lang w:val="tr-TR"/>
        </w:rPr>
        <w:t>nitelik bakımından karşılaştırmı</w:t>
      </w:r>
      <w:r w:rsidR="00C810C3" w:rsidRPr="00C810C3">
        <w:rPr>
          <w:lang w:val="tr-TR"/>
        </w:rPr>
        <w:t>ştır.</w:t>
      </w:r>
      <w:r w:rsidR="00CD26F7">
        <w:rPr>
          <w:lang w:val="tr-TR"/>
        </w:rPr>
        <w:t xml:space="preserve"> </w:t>
      </w:r>
      <w:r w:rsidR="00CD26F7" w:rsidRPr="00CD26F7">
        <w:rPr>
          <w:lang w:val="tr-TR"/>
        </w:rPr>
        <w:t>Nicelik karşı</w:t>
      </w:r>
      <w:r w:rsidR="0094325C">
        <w:rPr>
          <w:lang w:val="tr-TR"/>
        </w:rPr>
        <w:t>laştırması için üç veri tabanı (</w:t>
      </w:r>
      <w:r w:rsidR="00CD26F7" w:rsidRPr="00CD26F7">
        <w:rPr>
          <w:lang w:val="tr-TR"/>
        </w:rPr>
        <w:t>Science Citation Index (SCI), INSPEC,</w:t>
      </w:r>
      <w:r w:rsidR="0094325C">
        <w:rPr>
          <w:lang w:val="tr-TR"/>
        </w:rPr>
        <w:t xml:space="preserve"> Ei Compendex)</w:t>
      </w:r>
      <w:r w:rsidR="00CD26F7" w:rsidRPr="00CD26F7">
        <w:rPr>
          <w:lang w:val="tr-TR"/>
        </w:rPr>
        <w:t xml:space="preserve"> seçilmiştir ve nitelik karşılaştırması için </w:t>
      </w:r>
      <w:r w:rsidR="00213392">
        <w:rPr>
          <w:lang w:val="tr-TR"/>
        </w:rPr>
        <w:t xml:space="preserve">ise </w:t>
      </w:r>
      <w:r w:rsidR="00CD26F7" w:rsidRPr="00CD26F7">
        <w:rPr>
          <w:lang w:val="tr-TR"/>
        </w:rPr>
        <w:t>SCI'daki atıf analizi kullanılmıştır. Nicelik bakımından otuz teknoloji ve araştırma alanı değerlendirilmiş ve çalışmada sunulmuştur.</w:t>
      </w:r>
      <w:r w:rsidR="009E3FF9">
        <w:rPr>
          <w:lang w:val="tr-TR"/>
        </w:rPr>
        <w:t xml:space="preserve"> </w:t>
      </w:r>
      <w:r w:rsidR="009E3FF9" w:rsidRPr="009E3FF9">
        <w:rPr>
          <w:lang w:val="tr-TR"/>
        </w:rPr>
        <w:t>Hemen hemen tüm teknik alanlarda ABD'nin SCI s</w:t>
      </w:r>
      <w:r w:rsidR="00BA0716">
        <w:rPr>
          <w:lang w:val="tr-TR"/>
        </w:rPr>
        <w:t xml:space="preserve">onuçlarına dayanan yayın sayısının </w:t>
      </w:r>
      <w:r w:rsidR="009E3FF9" w:rsidRPr="009E3FF9">
        <w:rPr>
          <w:lang w:val="tr-TR"/>
        </w:rPr>
        <w:t xml:space="preserve">2002-2007 dönemi için </w:t>
      </w:r>
      <w:r w:rsidR="0039238E" w:rsidRPr="00C810C3">
        <w:rPr>
          <w:lang w:val="tr-TR"/>
        </w:rPr>
        <w:t>Çin</w:t>
      </w:r>
      <w:r w:rsidR="0039238E">
        <w:rPr>
          <w:lang w:val="tr-TR"/>
        </w:rPr>
        <w:t xml:space="preserve"> Halk Cumhuriyeti</w:t>
      </w:r>
      <w:r w:rsidR="009E3FF9" w:rsidRPr="009E3FF9">
        <w:rPr>
          <w:lang w:val="tr-TR"/>
        </w:rPr>
        <w:t>’</w:t>
      </w:r>
      <w:r w:rsidR="0039238E">
        <w:rPr>
          <w:lang w:val="tr-TR"/>
        </w:rPr>
        <w:t>n</w:t>
      </w:r>
      <w:r w:rsidR="009E3FF9" w:rsidRPr="009E3FF9">
        <w:rPr>
          <w:lang w:val="tr-TR"/>
        </w:rPr>
        <w:t>den daha fazla olduğu tespit edilmiştir.</w:t>
      </w:r>
      <w:r w:rsidR="006C7A02">
        <w:rPr>
          <w:lang w:val="tr-TR"/>
        </w:rPr>
        <w:t xml:space="preserve"> ABD nitelik açısından lider olsa da son on yılda </w:t>
      </w:r>
      <w:r w:rsidR="00015C57" w:rsidRPr="00C810C3">
        <w:rPr>
          <w:lang w:val="tr-TR"/>
        </w:rPr>
        <w:t>Çin</w:t>
      </w:r>
      <w:r w:rsidR="00015C57">
        <w:rPr>
          <w:lang w:val="tr-TR"/>
        </w:rPr>
        <w:t xml:space="preserve"> Halk Cumhuriyeti</w:t>
      </w:r>
      <w:r w:rsidR="00D40440">
        <w:rPr>
          <w:lang w:val="tr-TR"/>
        </w:rPr>
        <w:t>’</w:t>
      </w:r>
      <w:r w:rsidR="00015C57">
        <w:rPr>
          <w:lang w:val="tr-TR"/>
        </w:rPr>
        <w:t>n</w:t>
      </w:r>
      <w:r w:rsidR="00D40440">
        <w:rPr>
          <w:lang w:val="tr-TR"/>
        </w:rPr>
        <w:t>in yayınlarının kalitesi artmıştır</w:t>
      </w:r>
      <w:r w:rsidR="006C7A02">
        <w:rPr>
          <w:lang w:val="tr-TR"/>
        </w:rPr>
        <w:t>.</w:t>
      </w:r>
    </w:p>
    <w:p w:rsidR="00215652" w:rsidRDefault="00215652" w:rsidP="00215652">
      <w:pPr>
        <w:rPr>
          <w:lang w:val="tr-TR"/>
        </w:rPr>
      </w:pPr>
    </w:p>
    <w:p w:rsidR="00256F4E" w:rsidRDefault="00256F4E" w:rsidP="00215652">
      <w:pPr>
        <w:rPr>
          <w:lang w:val="tr-TR"/>
        </w:rPr>
      </w:pPr>
      <w:r>
        <w:rPr>
          <w:lang w:val="tr-TR"/>
        </w:rPr>
        <w:t xml:space="preserve">Wong ve Goh (2010), çalışmalarında </w:t>
      </w:r>
      <w:r w:rsidRPr="00256F4E">
        <w:rPr>
          <w:lang w:val="tr-TR"/>
        </w:rPr>
        <w:t>Güney Kore, Tayvan, Japonya ve Malezya'daki yayın sayısının ve patent sayısının büyüme davranışını modellemeye çalışmışlardır.</w:t>
      </w:r>
      <w:r>
        <w:rPr>
          <w:lang w:val="tr-TR"/>
        </w:rPr>
        <w:t xml:space="preserve"> Çalışmanın </w:t>
      </w:r>
      <w:r w:rsidRPr="00256F4E">
        <w:rPr>
          <w:lang w:val="tr-TR"/>
        </w:rPr>
        <w:t>sonuçları</w:t>
      </w:r>
      <w:r>
        <w:rPr>
          <w:lang w:val="tr-TR"/>
        </w:rPr>
        <w:t>, bilim ve teknolojide</w:t>
      </w:r>
      <w:r w:rsidRPr="00256F4E">
        <w:rPr>
          <w:lang w:val="tr-TR"/>
        </w:rPr>
        <w:t xml:space="preserve"> dinamik bir </w:t>
      </w:r>
      <w:r w:rsidR="00AB2B21">
        <w:rPr>
          <w:lang w:val="tr-TR"/>
        </w:rPr>
        <w:t xml:space="preserve">büyüme olduğunu, </w:t>
      </w:r>
      <w:r w:rsidRPr="00256F4E">
        <w:rPr>
          <w:lang w:val="tr-TR"/>
        </w:rPr>
        <w:t>Güney Kore ve Tayvan için büy</w:t>
      </w:r>
      <w:r w:rsidR="00AB2B21">
        <w:rPr>
          <w:lang w:val="tr-TR"/>
        </w:rPr>
        <w:t>ümeyi hızlandırdığını göstermektedir</w:t>
      </w:r>
      <w:r w:rsidRPr="00256F4E">
        <w:rPr>
          <w:lang w:val="tr-TR"/>
        </w:rPr>
        <w:t>. Japonya'nın teknolojisi için benzer bir geçiş gözlenirken, bilimdeki büyüme olgunluk dönemine girmişti</w:t>
      </w:r>
      <w:r w:rsidR="00C76B1C">
        <w:rPr>
          <w:lang w:val="tr-TR"/>
        </w:rPr>
        <w:t>r</w:t>
      </w:r>
      <w:r w:rsidRPr="00256F4E">
        <w:rPr>
          <w:lang w:val="tr-TR"/>
        </w:rPr>
        <w:t>. Öte yandan, bilimdeki büyüme potansiyeli Malezya için dinamik ancak teknolojik ilerlemesi diğer ekonomilere kıyasla göreceli olarak daha düşük ve statik</w:t>
      </w:r>
      <w:r w:rsidR="00AB2B21">
        <w:rPr>
          <w:lang w:val="tr-TR"/>
        </w:rPr>
        <w:t xml:space="preserve"> olarak gerçekleşmiştir</w:t>
      </w:r>
      <w:r w:rsidRPr="00256F4E">
        <w:rPr>
          <w:lang w:val="tr-TR"/>
        </w:rPr>
        <w:t>.</w:t>
      </w:r>
    </w:p>
    <w:p w:rsidR="00215652" w:rsidRDefault="00215652" w:rsidP="00215652">
      <w:pPr>
        <w:rPr>
          <w:lang w:val="tr-TR"/>
        </w:rPr>
      </w:pPr>
    </w:p>
    <w:p w:rsidR="00273CAE" w:rsidRDefault="00273CAE" w:rsidP="00215652">
      <w:pPr>
        <w:rPr>
          <w:lang w:val="tr-TR"/>
        </w:rPr>
      </w:pPr>
      <w:r w:rsidRPr="00F83BFE">
        <w:rPr>
          <w:lang w:val="tr-TR"/>
        </w:rPr>
        <w:t>Nour</w:t>
      </w:r>
      <w:r>
        <w:rPr>
          <w:lang w:val="tr-TR"/>
        </w:rPr>
        <w:t xml:space="preserve"> (2012), çalışmasında Sudan'daki bilim ve teknoloji</w:t>
      </w:r>
      <w:r w:rsidRPr="00277215">
        <w:rPr>
          <w:lang w:val="tr-TR"/>
        </w:rPr>
        <w:t xml:space="preserve"> geliştir</w:t>
      </w:r>
      <w:r>
        <w:rPr>
          <w:lang w:val="tr-TR"/>
        </w:rPr>
        <w:t xml:space="preserve">me göstergelerini değerlendirmiş, </w:t>
      </w:r>
      <w:r w:rsidRPr="00277215">
        <w:rPr>
          <w:lang w:val="tr-TR"/>
        </w:rPr>
        <w:t xml:space="preserve">Sudan'ın durumunu diğer </w:t>
      </w:r>
      <w:r>
        <w:rPr>
          <w:lang w:val="tr-TR"/>
        </w:rPr>
        <w:t>dünya ülkeleriyle karşılaştırmış</w:t>
      </w:r>
      <w:r w:rsidRPr="00277215">
        <w:rPr>
          <w:lang w:val="tr-TR"/>
        </w:rPr>
        <w:t xml:space="preserve"> ve </w:t>
      </w:r>
      <w:r>
        <w:rPr>
          <w:lang w:val="tr-TR"/>
        </w:rPr>
        <w:t xml:space="preserve">Sudan'daki bilim </w:t>
      </w:r>
      <w:r>
        <w:rPr>
          <w:lang w:val="tr-TR"/>
        </w:rPr>
        <w:lastRenderedPageBreak/>
        <w:t>ve teknoloji</w:t>
      </w:r>
      <w:r w:rsidRPr="00277215">
        <w:rPr>
          <w:lang w:val="tr-TR"/>
        </w:rPr>
        <w:t xml:space="preserve"> performansını artırmak için b</w:t>
      </w:r>
      <w:r>
        <w:rPr>
          <w:lang w:val="tr-TR"/>
        </w:rPr>
        <w:t xml:space="preserve">azı politika önerileri sunmuştur. Çalışmada Sudan'ın bilim ve teknoloji </w:t>
      </w:r>
      <w:r w:rsidR="00EC043C">
        <w:rPr>
          <w:lang w:val="tr-TR"/>
        </w:rPr>
        <w:t>girdi ve çıktı göstergeleri</w:t>
      </w:r>
      <w:r w:rsidRPr="00D803AE">
        <w:rPr>
          <w:lang w:val="tr-TR"/>
        </w:rPr>
        <w:t xml:space="preserve"> Arap, Afrika ve </w:t>
      </w:r>
      <w:r w:rsidR="00EC043C">
        <w:rPr>
          <w:lang w:val="tr-TR"/>
        </w:rPr>
        <w:t xml:space="preserve">gelişmekte olan ülkelerin bilim ve teknoloji </w:t>
      </w:r>
      <w:r w:rsidRPr="00D803AE">
        <w:rPr>
          <w:lang w:val="tr-TR"/>
        </w:rPr>
        <w:t>girdi ve çıktı göstergeleriyle kar</w:t>
      </w:r>
      <w:r w:rsidR="00EC043C">
        <w:rPr>
          <w:lang w:val="tr-TR"/>
        </w:rPr>
        <w:t>şılaştırılırken, bulgular Sudan'ın çoğu bilim ve teknoloji</w:t>
      </w:r>
      <w:r w:rsidRPr="00D803AE">
        <w:rPr>
          <w:lang w:val="tr-TR"/>
        </w:rPr>
        <w:t xml:space="preserve"> girdi göstergesi açısından (finansal ve insan kaynakları</w:t>
      </w:r>
      <w:r w:rsidR="00F7693A">
        <w:rPr>
          <w:lang w:val="tr-TR"/>
        </w:rPr>
        <w:t>) geride olduğunu göstermiştir</w:t>
      </w:r>
      <w:r w:rsidR="00AE1970">
        <w:rPr>
          <w:lang w:val="tr-TR"/>
        </w:rPr>
        <w:t>. Bu durum aynı zamanda</w:t>
      </w:r>
      <w:r w:rsidRPr="00D803AE">
        <w:rPr>
          <w:lang w:val="tr-TR"/>
        </w:rPr>
        <w:t xml:space="preserve">, yüksek teknolojili ihracatın ortalama payı, kişi başına düşen </w:t>
      </w:r>
      <w:r w:rsidR="00215652">
        <w:rPr>
          <w:lang w:val="tr-TR"/>
        </w:rPr>
        <w:t xml:space="preserve">Gayrisafi Yurtiçi Hasıla </w:t>
      </w:r>
      <w:r w:rsidR="00AE1970">
        <w:rPr>
          <w:lang w:val="tr-TR"/>
        </w:rPr>
        <w:t>(</w:t>
      </w:r>
      <w:r w:rsidRPr="00D803AE">
        <w:rPr>
          <w:lang w:val="tr-TR"/>
        </w:rPr>
        <w:t>GSYİH</w:t>
      </w:r>
      <w:r w:rsidR="00AE1970">
        <w:rPr>
          <w:lang w:val="tr-TR"/>
        </w:rPr>
        <w:t>)</w:t>
      </w:r>
      <w:r w:rsidRPr="00D803AE">
        <w:rPr>
          <w:lang w:val="tr-TR"/>
        </w:rPr>
        <w:t xml:space="preserve"> büyümesi, bilimsel yayın sayısı, uluslararası yayındaki pay seviyesi ve patent başvurusu sayısı için </w:t>
      </w:r>
      <w:r w:rsidR="00B04D4D">
        <w:rPr>
          <w:lang w:val="tr-TR"/>
        </w:rPr>
        <w:t xml:space="preserve">de </w:t>
      </w:r>
      <w:r w:rsidRPr="00D803AE">
        <w:rPr>
          <w:lang w:val="tr-TR"/>
        </w:rPr>
        <w:t>geçerlidir.</w:t>
      </w:r>
      <w:r w:rsidR="00162891">
        <w:rPr>
          <w:lang w:val="tr-TR"/>
        </w:rPr>
        <w:t xml:space="preserve"> Çalışmanın sonucu göstermiştir ki, </w:t>
      </w:r>
      <w:r w:rsidR="007320F4">
        <w:rPr>
          <w:lang w:val="tr-TR"/>
        </w:rPr>
        <w:t>Sudan</w:t>
      </w:r>
      <w:r w:rsidR="00BA0716">
        <w:rPr>
          <w:lang w:val="tr-TR"/>
        </w:rPr>
        <w:t>,</w:t>
      </w:r>
      <w:r w:rsidR="007320F4">
        <w:rPr>
          <w:lang w:val="tr-TR"/>
        </w:rPr>
        <w:t xml:space="preserve"> bilim ve teknolojiyi </w:t>
      </w:r>
      <w:r w:rsidR="007320F4" w:rsidRPr="007320F4">
        <w:rPr>
          <w:lang w:val="tr-TR"/>
        </w:rPr>
        <w:t>teşvik etmek için gerekli olan tüm insani ve mali kaynaklara sahip değildir.</w:t>
      </w:r>
      <w:r w:rsidR="00C53028">
        <w:rPr>
          <w:lang w:val="tr-TR"/>
        </w:rPr>
        <w:t xml:space="preserve"> Ancak</w:t>
      </w:r>
      <w:r w:rsidR="008D44B7">
        <w:rPr>
          <w:lang w:val="tr-TR"/>
        </w:rPr>
        <w:t xml:space="preserve"> </w:t>
      </w:r>
      <w:r w:rsidR="009814FE" w:rsidRPr="009814FE">
        <w:rPr>
          <w:lang w:val="tr-TR"/>
        </w:rPr>
        <w:t>e</w:t>
      </w:r>
      <w:r w:rsidR="008D44B7" w:rsidRPr="009814FE">
        <w:rPr>
          <w:lang w:val="tr-TR"/>
        </w:rPr>
        <w:t>konom</w:t>
      </w:r>
      <w:r w:rsidR="009814FE" w:rsidRPr="009814FE">
        <w:rPr>
          <w:lang w:val="tr-TR"/>
        </w:rPr>
        <w:t>ik sistemi yeniden yapılandırarak, özel sektörü teşvik ederek</w:t>
      </w:r>
      <w:r w:rsidR="008D44B7" w:rsidRPr="009814FE">
        <w:rPr>
          <w:lang w:val="tr-TR"/>
        </w:rPr>
        <w:t xml:space="preserve"> ve </w:t>
      </w:r>
      <w:r w:rsidR="009814FE" w:rsidRPr="009814FE">
        <w:rPr>
          <w:lang w:val="tr-TR"/>
        </w:rPr>
        <w:t>diğer Arap ve Afrika ülkeleri ile etkili bir bilim ve teknoloji</w:t>
      </w:r>
      <w:r w:rsidR="008D44B7" w:rsidRPr="009814FE">
        <w:rPr>
          <w:lang w:val="tr-TR"/>
        </w:rPr>
        <w:t xml:space="preserve"> işbirliği ve </w:t>
      </w:r>
      <w:r w:rsidR="009814FE" w:rsidRPr="009814FE">
        <w:rPr>
          <w:lang w:val="tr-TR"/>
        </w:rPr>
        <w:t>entegrasyon uygulayarak</w:t>
      </w:r>
      <w:r w:rsidR="008D44B7" w:rsidRPr="009814FE">
        <w:rPr>
          <w:lang w:val="tr-TR"/>
        </w:rPr>
        <w:t xml:space="preserve"> </w:t>
      </w:r>
      <w:r w:rsidR="009814FE" w:rsidRPr="009814FE">
        <w:rPr>
          <w:lang w:val="tr-TR"/>
        </w:rPr>
        <w:t>Sudan, bilim ve teknolojisini</w:t>
      </w:r>
      <w:r w:rsidR="008D44B7" w:rsidRPr="009814FE">
        <w:rPr>
          <w:lang w:val="tr-TR"/>
        </w:rPr>
        <w:t xml:space="preserve"> ge</w:t>
      </w:r>
      <w:r w:rsidR="009814FE" w:rsidRPr="009814FE">
        <w:rPr>
          <w:lang w:val="tr-TR"/>
        </w:rPr>
        <w:t>liştirebil</w:t>
      </w:r>
      <w:r w:rsidR="00CD2CAE">
        <w:rPr>
          <w:lang w:val="tr-TR"/>
        </w:rPr>
        <w:t>e</w:t>
      </w:r>
      <w:r w:rsidR="009814FE" w:rsidRPr="009814FE">
        <w:rPr>
          <w:lang w:val="tr-TR"/>
        </w:rPr>
        <w:t>cektir</w:t>
      </w:r>
      <w:r w:rsidR="008D44B7" w:rsidRPr="009814FE">
        <w:rPr>
          <w:lang w:val="tr-TR"/>
        </w:rPr>
        <w:t>.</w:t>
      </w:r>
      <w:r w:rsidR="00C53028">
        <w:rPr>
          <w:lang w:val="tr-TR"/>
        </w:rPr>
        <w:t xml:space="preserve"> </w:t>
      </w:r>
    </w:p>
    <w:p w:rsidR="00BA0716" w:rsidRDefault="00BA0716" w:rsidP="00BA0716">
      <w:pPr>
        <w:rPr>
          <w:lang w:val="tr-TR"/>
        </w:rPr>
      </w:pPr>
    </w:p>
    <w:p w:rsidR="00A01B22" w:rsidRDefault="00A01B22" w:rsidP="00BA0716">
      <w:pPr>
        <w:rPr>
          <w:lang w:val="tr-TR"/>
        </w:rPr>
      </w:pPr>
      <w:r w:rsidRPr="00F75F74">
        <w:rPr>
          <w:lang w:val="tr-TR"/>
        </w:rPr>
        <w:t xml:space="preserve">Rodriguez ve Soeparwata (2012) çalışmalarında Güneydoğu Asya Ülkeleri Birliği'nin üye devletlerinin bilim, teknoloji ve yenilik açısından </w:t>
      </w:r>
      <w:r w:rsidR="00121B14">
        <w:rPr>
          <w:lang w:val="tr-TR"/>
        </w:rPr>
        <w:t xml:space="preserve">1999 yılından 2009 yılına kadar olan </w:t>
      </w:r>
      <w:r w:rsidRPr="00F75F74">
        <w:rPr>
          <w:lang w:val="tr-TR"/>
        </w:rPr>
        <w:t>performa</w:t>
      </w:r>
      <w:r>
        <w:rPr>
          <w:lang w:val="tr-TR"/>
        </w:rPr>
        <w:t>nslarının</w:t>
      </w:r>
      <w:r w:rsidRPr="00F75F74">
        <w:rPr>
          <w:lang w:val="tr-TR"/>
        </w:rPr>
        <w:t xml:space="preserve"> ampirik bir değerlendirmesini yapmışlardır.</w:t>
      </w:r>
      <w:r>
        <w:rPr>
          <w:lang w:val="tr-TR"/>
        </w:rPr>
        <w:t xml:space="preserve"> Çalışma</w:t>
      </w:r>
      <w:r w:rsidRPr="00CE5523">
        <w:rPr>
          <w:lang w:val="tr-TR"/>
        </w:rPr>
        <w:t xml:space="preserve"> ''Vizyon 2020'' uygulamasının izlenmesine yardımcı olabilecek bir karşılaştırmalı politika değerlendirmesi biçimini içermektedir. </w:t>
      </w:r>
    </w:p>
    <w:p w:rsidR="00BA0716" w:rsidRDefault="00BA0716" w:rsidP="00BA0716">
      <w:pPr>
        <w:rPr>
          <w:lang w:val="tr-TR"/>
        </w:rPr>
      </w:pPr>
    </w:p>
    <w:p w:rsidR="009A2349" w:rsidRDefault="009A2349" w:rsidP="00BA0716">
      <w:pPr>
        <w:rPr>
          <w:lang w:val="tr-TR"/>
        </w:rPr>
      </w:pPr>
      <w:r w:rsidRPr="009A2349">
        <w:rPr>
          <w:lang w:val="tr-TR"/>
        </w:rPr>
        <w:t>Saljoughian</w:t>
      </w:r>
      <w:r>
        <w:rPr>
          <w:lang w:val="tr-TR"/>
        </w:rPr>
        <w:t xml:space="preserve"> vd. (</w:t>
      </w:r>
      <w:r w:rsidR="00FE0912">
        <w:rPr>
          <w:lang w:val="tr-TR"/>
        </w:rPr>
        <w:t>2013),</w:t>
      </w:r>
      <w:r w:rsidR="00CF3433">
        <w:rPr>
          <w:lang w:val="tr-TR"/>
        </w:rPr>
        <w:t xml:space="preserve"> çalışmalarında </w:t>
      </w:r>
      <w:r w:rsidR="00BA0716">
        <w:rPr>
          <w:lang w:val="tr-TR"/>
        </w:rPr>
        <w:t xml:space="preserve">Veri Zarflama Analizi Yöntemi </w:t>
      </w:r>
      <w:r w:rsidR="00CF3433">
        <w:rPr>
          <w:lang w:val="tr-TR"/>
        </w:rPr>
        <w:t xml:space="preserve">kullanarak </w:t>
      </w:r>
      <w:r w:rsidR="00901389">
        <w:rPr>
          <w:lang w:val="tr-TR"/>
        </w:rPr>
        <w:t>28 OECD ülkesinin 2009 yılı için bilim ve teknoloji göstergeleri açısından performanslarını analiz etmişlerdir.</w:t>
      </w:r>
      <w:r w:rsidR="00B905AD">
        <w:rPr>
          <w:lang w:val="tr-TR"/>
        </w:rPr>
        <w:t xml:space="preserve"> Çalışmada kullanılan girdi</w:t>
      </w:r>
      <w:r w:rsidR="00AE1970">
        <w:rPr>
          <w:lang w:val="tr-TR"/>
        </w:rPr>
        <w:t xml:space="preserve">ler </w:t>
      </w:r>
      <w:r w:rsidR="00595F16" w:rsidRPr="00BE551B">
        <w:rPr>
          <w:lang w:val="tr-TR"/>
        </w:rPr>
        <w:t>GSYİH</w:t>
      </w:r>
      <w:r w:rsidR="00AE1970">
        <w:rPr>
          <w:lang w:val="tr-TR"/>
        </w:rPr>
        <w:t>’nın</w:t>
      </w:r>
      <w:r w:rsidR="00B905AD">
        <w:rPr>
          <w:lang w:val="tr-TR"/>
        </w:rPr>
        <w:t xml:space="preserve"> yüzdesi olarak Ar-Ge harcamaları</w:t>
      </w:r>
      <w:r w:rsidR="009934CD">
        <w:rPr>
          <w:lang w:val="tr-TR"/>
        </w:rPr>
        <w:t xml:space="preserve"> ve </w:t>
      </w:r>
      <w:r w:rsidR="00595F16">
        <w:rPr>
          <w:lang w:val="tr-TR"/>
        </w:rPr>
        <w:t>milyon kişi başına Ar-Ge araştırmacıları sayısı</w:t>
      </w:r>
      <w:r w:rsidR="00BA0716">
        <w:rPr>
          <w:lang w:val="tr-TR"/>
        </w:rPr>
        <w:t>, çıktılar ise</w:t>
      </w:r>
      <w:r w:rsidR="009934CD">
        <w:rPr>
          <w:lang w:val="tr-TR"/>
        </w:rPr>
        <w:t xml:space="preserve"> patent başvuru sayısı, marka başvuru sayısı ve bilimsel yayın sayısıdır.</w:t>
      </w:r>
      <w:r w:rsidR="00392442">
        <w:rPr>
          <w:lang w:val="tr-TR"/>
        </w:rPr>
        <w:t xml:space="preserve"> Çalışmanın sonucunda ABD, </w:t>
      </w:r>
      <w:r w:rsidR="00B14ADA">
        <w:rPr>
          <w:lang w:val="tr-TR"/>
        </w:rPr>
        <w:t xml:space="preserve">Güney </w:t>
      </w:r>
      <w:r w:rsidR="00392442" w:rsidRPr="00392442">
        <w:rPr>
          <w:lang w:val="tr-TR"/>
        </w:rPr>
        <w:t>Kore ve Japonya</w:t>
      </w:r>
      <w:r w:rsidR="00B14ADA">
        <w:rPr>
          <w:lang w:val="tr-TR"/>
        </w:rPr>
        <w:t>’nın</w:t>
      </w:r>
      <w:r w:rsidR="00392442" w:rsidRPr="00392442">
        <w:rPr>
          <w:lang w:val="tr-TR"/>
        </w:rPr>
        <w:t xml:space="preserve"> performans açısından ilk sıralarda yer aldıkları tespit edilmiştir.</w:t>
      </w:r>
      <w:r w:rsidR="00B14ADA">
        <w:rPr>
          <w:lang w:val="tr-TR"/>
        </w:rPr>
        <w:t xml:space="preserve"> Estonya ve İzlanda</w:t>
      </w:r>
      <w:r w:rsidR="00075816">
        <w:rPr>
          <w:lang w:val="tr-TR"/>
        </w:rPr>
        <w:t>’nın</w:t>
      </w:r>
      <w:r w:rsidR="00B14ADA">
        <w:rPr>
          <w:lang w:val="tr-TR"/>
        </w:rPr>
        <w:t xml:space="preserve"> ise bilim ve teknoloji performansı açısından son sıralarda bulundukları belirlenmiştir.</w:t>
      </w:r>
    </w:p>
    <w:p w:rsidR="00BA0716" w:rsidRDefault="00BA0716" w:rsidP="00BA0716">
      <w:pPr>
        <w:rPr>
          <w:lang w:val="tr-TR"/>
        </w:rPr>
      </w:pPr>
    </w:p>
    <w:p w:rsidR="001F342D" w:rsidRDefault="001F342D" w:rsidP="00BA0716">
      <w:pPr>
        <w:rPr>
          <w:lang w:val="tr-TR"/>
        </w:rPr>
      </w:pPr>
      <w:r w:rsidRPr="001F342D">
        <w:rPr>
          <w:lang w:val="tr-TR"/>
        </w:rPr>
        <w:t>Siyanbola</w:t>
      </w:r>
      <w:r>
        <w:rPr>
          <w:lang w:val="tr-TR"/>
        </w:rPr>
        <w:t xml:space="preserve"> vd. (2016), çalışmalarında </w:t>
      </w:r>
      <w:r w:rsidR="009127ED" w:rsidRPr="009127ED">
        <w:rPr>
          <w:lang w:val="tr-TR"/>
        </w:rPr>
        <w:t>bilimsel göstergeler kullanarak Nijerya'da bilim, teknoloji ve inovasyon politikasını formüle etme sürecinin eleştirel bir incelemesini sunmuşlardır.</w:t>
      </w:r>
      <w:r w:rsidR="004529F3">
        <w:rPr>
          <w:lang w:val="tr-TR"/>
        </w:rPr>
        <w:t xml:space="preserve"> </w:t>
      </w:r>
      <w:r w:rsidR="004529F3" w:rsidRPr="004529F3">
        <w:rPr>
          <w:lang w:val="tr-TR"/>
        </w:rPr>
        <w:t>Bu çalışma</w:t>
      </w:r>
      <w:r w:rsidR="008A457E">
        <w:rPr>
          <w:lang w:val="tr-TR"/>
        </w:rPr>
        <w:t>,</w:t>
      </w:r>
      <w:r w:rsidR="004529F3" w:rsidRPr="004529F3">
        <w:rPr>
          <w:lang w:val="tr-TR"/>
        </w:rPr>
        <w:t xml:space="preserve"> bir sistem analiz çerçevesi kullanarak ulusal yenilik politikasının tasarlanması, formüle edilmesi ve uygulanmasına ilişkin bilimsel kanıtlar sunmak için </w:t>
      </w:r>
      <w:r w:rsidR="004529F3" w:rsidRPr="009127ED">
        <w:rPr>
          <w:lang w:val="tr-TR"/>
        </w:rPr>
        <w:t xml:space="preserve">bilim, teknoloji ve inovasyon </w:t>
      </w:r>
      <w:r w:rsidR="004529F3" w:rsidRPr="004529F3">
        <w:rPr>
          <w:lang w:val="tr-TR"/>
        </w:rPr>
        <w:t>göstergelerinin oynadığı temel rolü ortaya koymuştur.</w:t>
      </w:r>
    </w:p>
    <w:p w:rsidR="00BA0716" w:rsidRDefault="00BA0716" w:rsidP="00BA0716">
      <w:pPr>
        <w:rPr>
          <w:lang w:val="tr-TR"/>
        </w:rPr>
      </w:pPr>
    </w:p>
    <w:p w:rsidR="00927410" w:rsidRDefault="00927410" w:rsidP="00BA0716">
      <w:pPr>
        <w:rPr>
          <w:lang w:val="tr-TR"/>
        </w:rPr>
      </w:pPr>
      <w:r w:rsidRPr="00927410">
        <w:rPr>
          <w:lang w:val="tr-TR"/>
        </w:rPr>
        <w:t>Coccia (2017), çalışmasında 2000-2002 döneminde 51 ülkeden</w:t>
      </w:r>
      <w:r w:rsidR="007A67C5">
        <w:rPr>
          <w:lang w:val="tr-TR"/>
        </w:rPr>
        <w:t xml:space="preserve"> (</w:t>
      </w:r>
      <w:r w:rsidR="00B56BAD" w:rsidRPr="00B56BAD">
        <w:rPr>
          <w:lang w:val="tr-TR"/>
        </w:rPr>
        <w:t>Kuzey Amerika'da 2</w:t>
      </w:r>
      <w:r w:rsidR="00B56BAD">
        <w:rPr>
          <w:lang w:val="tr-TR"/>
        </w:rPr>
        <w:t xml:space="preserve">, Güney </w:t>
      </w:r>
      <w:r w:rsidR="00B56BAD" w:rsidRPr="00B56BAD">
        <w:rPr>
          <w:lang w:val="tr-TR"/>
        </w:rPr>
        <w:t>Amerika'da 8, Avrupa'da 15,</w:t>
      </w:r>
      <w:r w:rsidR="0014399E">
        <w:rPr>
          <w:lang w:val="tr-TR"/>
        </w:rPr>
        <w:t xml:space="preserve"> Doğu </w:t>
      </w:r>
      <w:r w:rsidR="0014399E" w:rsidRPr="00B56BAD">
        <w:rPr>
          <w:lang w:val="tr-TR"/>
        </w:rPr>
        <w:t xml:space="preserve">Avrupa'da </w:t>
      </w:r>
      <w:r w:rsidR="00B56BAD" w:rsidRPr="00B56BAD">
        <w:rPr>
          <w:lang w:val="tr-TR"/>
        </w:rPr>
        <w:t>8</w:t>
      </w:r>
      <w:r w:rsidR="00B56BAD">
        <w:rPr>
          <w:lang w:val="tr-TR"/>
        </w:rPr>
        <w:t>,</w:t>
      </w:r>
      <w:r w:rsidR="00885DCE">
        <w:rPr>
          <w:lang w:val="tr-TR"/>
        </w:rPr>
        <w:t xml:space="preserve"> </w:t>
      </w:r>
      <w:r w:rsidR="007A67C5" w:rsidRPr="00B56BAD">
        <w:rPr>
          <w:lang w:val="tr-TR"/>
        </w:rPr>
        <w:t xml:space="preserve">Afrika'da 1, Asya'da 15 ve Okyanusya'da 2 </w:t>
      </w:r>
      <w:r w:rsidR="00B56BAD">
        <w:rPr>
          <w:lang w:val="tr-TR"/>
        </w:rPr>
        <w:t xml:space="preserve">ülke) </w:t>
      </w:r>
      <w:r w:rsidRPr="00927410">
        <w:rPr>
          <w:lang w:val="tr-TR"/>
        </w:rPr>
        <w:t>elde edilen verileri kullanarak yaptığı karşılaştırmalı analiz neticesinde ülkelerin ekonomik ve teknolojik performanslarını değerlendirmiştir.</w:t>
      </w:r>
      <w:r>
        <w:rPr>
          <w:lang w:val="tr-TR"/>
        </w:rPr>
        <w:t xml:space="preserve"> Ülkelerin teknolojik performansları </w:t>
      </w:r>
      <w:r w:rsidRPr="00D803AE">
        <w:rPr>
          <w:lang w:val="tr-TR"/>
        </w:rPr>
        <w:t>GSYİH</w:t>
      </w:r>
      <w:r>
        <w:rPr>
          <w:lang w:val="tr-TR"/>
        </w:rPr>
        <w:t xml:space="preserve">’nin yüzdesi olarak Ar-Ge harcamaları, kişi başı Ar-Ge harcamaları ve </w:t>
      </w:r>
      <w:r w:rsidRPr="00927410">
        <w:rPr>
          <w:lang w:val="tr-TR"/>
        </w:rPr>
        <w:t>bin işgücü başına toplam araştırmacı</w:t>
      </w:r>
      <w:r>
        <w:rPr>
          <w:lang w:val="tr-TR"/>
        </w:rPr>
        <w:t xml:space="preserve"> sayısı kullanılarak analiz edilmiştir. </w:t>
      </w:r>
      <w:r w:rsidR="007C1559">
        <w:rPr>
          <w:lang w:val="tr-TR"/>
        </w:rPr>
        <w:t>Çalışma neticesinde teknolojik performans açısından İsveç’in, Finlandiya’nın, Japonya’nın ve İsviçre’nin ilk sıralarda yer aldığı bulunmuştur.</w:t>
      </w:r>
    </w:p>
    <w:p w:rsidR="00C11C33" w:rsidRDefault="00BA0716" w:rsidP="00BA0716">
      <w:pPr>
        <w:pStyle w:val="P1"/>
        <w:rPr>
          <w:b/>
          <w:bCs/>
          <w:lang w:val="tr-TR"/>
        </w:rPr>
      </w:pPr>
      <w:r>
        <w:rPr>
          <w:b/>
          <w:bCs/>
          <w:lang w:val="tr-TR"/>
        </w:rPr>
        <w:t xml:space="preserve">3. VERİ VE YÖNTEM </w:t>
      </w:r>
    </w:p>
    <w:p w:rsidR="00AA1A1F" w:rsidRDefault="00CE34AB" w:rsidP="00BA0716">
      <w:pPr>
        <w:pStyle w:val="P1"/>
        <w:rPr>
          <w:noProof w:val="0"/>
          <w:lang w:val="tr-TR"/>
        </w:rPr>
      </w:pPr>
      <w:r>
        <w:rPr>
          <w:noProof w:val="0"/>
          <w:lang w:val="tr-TR"/>
        </w:rPr>
        <w:t>Çok kriterli karar verme problemi</w:t>
      </w:r>
      <w:r w:rsidRPr="00CE34AB">
        <w:rPr>
          <w:noProof w:val="0"/>
          <w:lang w:val="tr-TR"/>
        </w:rPr>
        <w:t>, her biri aynı anda göz önüne alınması gereken farklı karar kriterleri açısından açıkça tanımlanan belirli sayıda karar alternatifini sıralamak göreviyle ilgilidir. ARAS</w:t>
      </w:r>
      <w:r w:rsidR="00853CEB">
        <w:rPr>
          <w:noProof w:val="0"/>
          <w:lang w:val="tr-TR"/>
        </w:rPr>
        <w:t xml:space="preserve"> </w:t>
      </w:r>
      <w:r w:rsidR="00BA0716">
        <w:rPr>
          <w:noProof w:val="0"/>
          <w:lang w:val="tr-TR"/>
        </w:rPr>
        <w:t>Y</w:t>
      </w:r>
      <w:r w:rsidRPr="00CE34AB">
        <w:rPr>
          <w:noProof w:val="0"/>
          <w:lang w:val="tr-TR"/>
        </w:rPr>
        <w:t>öntemine göre, uygulanabilir bir al</w:t>
      </w:r>
      <w:r w:rsidR="001F4D9F">
        <w:rPr>
          <w:noProof w:val="0"/>
          <w:lang w:val="tr-TR"/>
        </w:rPr>
        <w:t>ternatifin karmaşık göreli etkinliğini</w:t>
      </w:r>
      <w:r w:rsidRPr="00CE34AB">
        <w:rPr>
          <w:noProof w:val="0"/>
          <w:lang w:val="tr-TR"/>
        </w:rPr>
        <w:t xml:space="preserve"> belirleyen bir fayda fonksiyonu değeri, bir projede ele alınan ana kriterlerin değerlerinin ve ağırlıklarının göreli etkisine doğrudan doğruya orantılıdır</w:t>
      </w:r>
      <w:r w:rsidR="004E3AA5">
        <w:rPr>
          <w:noProof w:val="0"/>
          <w:lang w:val="tr-TR"/>
        </w:rPr>
        <w:t xml:space="preserve"> (</w:t>
      </w:r>
      <w:r w:rsidR="004E3AA5" w:rsidRPr="004E3AA5">
        <w:rPr>
          <w:noProof w:val="0"/>
          <w:lang w:val="tr-TR"/>
        </w:rPr>
        <w:t>Zavadskas</w:t>
      </w:r>
      <w:r w:rsidR="004E3AA5">
        <w:rPr>
          <w:noProof w:val="0"/>
          <w:lang w:val="tr-TR"/>
        </w:rPr>
        <w:t xml:space="preserve"> ve </w:t>
      </w:r>
      <w:r w:rsidR="004E3AA5" w:rsidRPr="004E3AA5">
        <w:rPr>
          <w:noProof w:val="0"/>
          <w:lang w:val="tr-TR"/>
        </w:rPr>
        <w:t>Turskis</w:t>
      </w:r>
      <w:r w:rsidR="004E3AA5">
        <w:rPr>
          <w:noProof w:val="0"/>
          <w:lang w:val="tr-TR"/>
        </w:rPr>
        <w:t>, 2010: 163)</w:t>
      </w:r>
      <w:r w:rsidRPr="00CE34AB">
        <w:rPr>
          <w:noProof w:val="0"/>
          <w:lang w:val="tr-TR"/>
        </w:rPr>
        <w:t>.</w:t>
      </w:r>
      <w:r w:rsidR="00997B4D">
        <w:rPr>
          <w:noProof w:val="0"/>
          <w:lang w:val="tr-TR"/>
        </w:rPr>
        <w:t xml:space="preserve"> </w:t>
      </w:r>
      <w:r w:rsidR="00BA0716">
        <w:rPr>
          <w:noProof w:val="0"/>
          <w:lang w:val="tr-TR"/>
        </w:rPr>
        <w:lastRenderedPageBreak/>
        <w:t>ARAS Y</w:t>
      </w:r>
      <w:r w:rsidR="0032261A">
        <w:rPr>
          <w:noProof w:val="0"/>
          <w:lang w:val="tr-TR"/>
        </w:rPr>
        <w:t>önteminin uygulama aşamaları sırasıyla şu şekildedir (</w:t>
      </w:r>
      <w:r w:rsidR="0032261A" w:rsidRPr="004E3AA5">
        <w:rPr>
          <w:noProof w:val="0"/>
          <w:lang w:val="tr-TR"/>
        </w:rPr>
        <w:t>Zavadskas</w:t>
      </w:r>
      <w:r w:rsidR="0032261A">
        <w:rPr>
          <w:noProof w:val="0"/>
          <w:lang w:val="tr-TR"/>
        </w:rPr>
        <w:t xml:space="preserve"> ve </w:t>
      </w:r>
      <w:r w:rsidR="0032261A" w:rsidRPr="004E3AA5">
        <w:rPr>
          <w:noProof w:val="0"/>
          <w:lang w:val="tr-TR"/>
        </w:rPr>
        <w:t>Turskis</w:t>
      </w:r>
      <w:r w:rsidR="0032261A">
        <w:rPr>
          <w:noProof w:val="0"/>
          <w:lang w:val="tr-TR"/>
        </w:rPr>
        <w:t>, 2010: 163-165):</w:t>
      </w:r>
    </w:p>
    <w:p w:rsidR="00F20392" w:rsidRDefault="00F20392" w:rsidP="00BA0716">
      <w:pPr>
        <w:pStyle w:val="P1"/>
        <w:rPr>
          <w:noProof w:val="0"/>
          <w:lang w:val="tr-TR"/>
        </w:rPr>
      </w:pPr>
      <w:r w:rsidRPr="00F20392">
        <w:rPr>
          <w:noProof w:val="0"/>
          <w:lang w:val="tr-TR"/>
        </w:rPr>
        <w:t>İlk aşamada karar verme matrisi oluşturulmaktadır.</w:t>
      </w:r>
      <w:r w:rsidR="00557072">
        <w:rPr>
          <w:noProof w:val="0"/>
          <w:lang w:val="tr-TR"/>
        </w:rPr>
        <w:t xml:space="preserve"> Aşağıda gösterilen karar verme matrisinde </w:t>
      </w:r>
      <w:r w:rsidR="00C766CA">
        <w:rPr>
          <w:noProof w:val="0"/>
          <w:lang w:val="tr-TR"/>
        </w:rPr>
        <w:t>“m”</w:t>
      </w:r>
      <w:r w:rsidR="00BA0716">
        <w:rPr>
          <w:noProof w:val="0"/>
          <w:lang w:val="tr-TR"/>
        </w:rPr>
        <w:t>,</w:t>
      </w:r>
      <w:r w:rsidR="00C766CA">
        <w:rPr>
          <w:noProof w:val="0"/>
          <w:lang w:val="tr-TR"/>
        </w:rPr>
        <w:t xml:space="preserve"> alternatifleri ve “n”</w:t>
      </w:r>
      <w:r w:rsidR="00BA0716">
        <w:rPr>
          <w:noProof w:val="0"/>
          <w:lang w:val="tr-TR"/>
        </w:rPr>
        <w:t>,</w:t>
      </w:r>
      <w:r w:rsidR="00C766CA">
        <w:rPr>
          <w:noProof w:val="0"/>
          <w:lang w:val="tr-TR"/>
        </w:rPr>
        <w:t xml:space="preserve"> kriterleri ifade etmektedir.</w:t>
      </w:r>
      <w:r w:rsidR="00E3613B">
        <w:rPr>
          <w:noProof w:val="0"/>
          <w:lang w:val="tr-TR"/>
        </w:rPr>
        <w:t xml:space="preserve"> “x</w:t>
      </w:r>
      <w:r w:rsidR="00E3613B" w:rsidRPr="00E3613B">
        <w:rPr>
          <w:noProof w:val="0"/>
          <w:vertAlign w:val="subscript"/>
          <w:lang w:val="tr-TR"/>
        </w:rPr>
        <w:t>ij</w:t>
      </w:r>
      <w:r w:rsidR="00E3613B">
        <w:rPr>
          <w:noProof w:val="0"/>
          <w:lang w:val="tr-TR"/>
        </w:rPr>
        <w:t xml:space="preserve">” </w:t>
      </w:r>
      <w:r w:rsidR="00E3613B" w:rsidRPr="00E3613B">
        <w:rPr>
          <w:noProof w:val="0"/>
          <w:lang w:val="tr-TR"/>
        </w:rPr>
        <w:t>j kriterine göre i alternatifinin performans değerini temsil eden değerdir.</w:t>
      </w:r>
      <w:r w:rsidR="004C7BD6">
        <w:rPr>
          <w:noProof w:val="0"/>
          <w:lang w:val="tr-TR"/>
        </w:rPr>
        <w:t xml:space="preserve"> “</w:t>
      </w:r>
      <w:r w:rsidR="004C7BD6" w:rsidRPr="004C7BD6">
        <w:rPr>
          <w:noProof w:val="0"/>
          <w:lang w:val="tr-TR"/>
        </w:rPr>
        <w:t>x</w:t>
      </w:r>
      <w:r w:rsidR="004C7BD6" w:rsidRPr="004C7BD6">
        <w:rPr>
          <w:noProof w:val="0"/>
          <w:vertAlign w:val="subscript"/>
          <w:lang w:val="tr-TR"/>
        </w:rPr>
        <w:t>0j</w:t>
      </w:r>
      <w:r w:rsidR="004C7BD6" w:rsidRPr="004C7BD6">
        <w:rPr>
          <w:noProof w:val="0"/>
          <w:lang w:val="tr-TR"/>
        </w:rPr>
        <w:t>”  ise j kriterinin optimal değeridir.</w:t>
      </w:r>
    </w:p>
    <w:p w:rsidR="00C766CA" w:rsidRPr="00C749AA" w:rsidRDefault="00FF6EC2" w:rsidP="008A0E93">
      <w:pPr>
        <w:spacing w:line="360" w:lineRule="auto"/>
        <w:ind w:firstLine="709"/>
      </w:pPr>
      <w:r w:rsidRPr="00A15D4F">
        <w:rPr>
          <w:position w:val="-106"/>
        </w:rPr>
        <w:object w:dxaOrig="4700" w:dyaOrig="2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05pt" o:ole="">
            <v:imagedata r:id="rId8" o:title=""/>
          </v:shape>
          <o:OLEObject Type="Embed" ProgID="Equation.DSMT4" ShapeID="_x0000_i1025" DrawAspect="Content" ObjectID="_1610869991" r:id="rId9"/>
        </w:object>
      </w:r>
      <w:r w:rsidR="00F373C1">
        <w:t xml:space="preserve">                                                          </w:t>
      </w:r>
      <w:r w:rsidR="007D1C39">
        <w:t xml:space="preserve"> </w:t>
      </w:r>
      <w:r w:rsidR="00F373C1">
        <w:t xml:space="preserve"> (1)</w:t>
      </w:r>
    </w:p>
    <w:p w:rsidR="00FF40B1" w:rsidRPr="007A00D9" w:rsidRDefault="00FF40B1" w:rsidP="00143656">
      <w:pPr>
        <w:spacing w:before="120" w:after="120"/>
        <w:ind w:firstLine="709"/>
        <w:rPr>
          <w:lang w:val="tr-TR"/>
        </w:rPr>
      </w:pPr>
      <w:r w:rsidRPr="007A00D9">
        <w:rPr>
          <w:lang w:val="tr-TR"/>
        </w:rPr>
        <w:t>Eğer en iyi j kriteri değeri bilinmiyorsa;</w:t>
      </w:r>
    </w:p>
    <w:p w:rsidR="00FF40B1" w:rsidRPr="00703083" w:rsidRDefault="00577647" w:rsidP="00143656">
      <w:pPr>
        <w:spacing w:before="120" w:after="120"/>
        <w:ind w:firstLine="709"/>
        <w:rPr>
          <w:lang w:val="tr-TR"/>
        </w:rPr>
      </w:pPr>
      <w:r>
        <w:rPr>
          <w:lang w:val="tr-TR"/>
        </w:rPr>
        <w:t xml:space="preserve">Eğer </w:t>
      </w:r>
      <w:r w:rsidR="000F15C6" w:rsidRPr="00A15D4F">
        <w:rPr>
          <w:position w:val="-20"/>
        </w:rPr>
        <w:object w:dxaOrig="499" w:dyaOrig="440">
          <v:shape id="_x0000_i1026" type="#_x0000_t75" style="width:25.2pt;height:22.8pt" o:ole="">
            <v:imagedata r:id="rId10" o:title=""/>
          </v:shape>
          <o:OLEObject Type="Embed" ProgID="Equation.DSMT4" ShapeID="_x0000_i1026" DrawAspect="Content" ObjectID="_1610869992" r:id="rId11"/>
        </w:object>
      </w:r>
      <w:r>
        <w:rPr>
          <w:lang w:val="tr-TR"/>
        </w:rPr>
        <w:t>x</w:t>
      </w:r>
      <w:r w:rsidRPr="00577647">
        <w:rPr>
          <w:vertAlign w:val="subscript"/>
          <w:lang w:val="tr-TR"/>
        </w:rPr>
        <w:t>ij</w:t>
      </w:r>
      <w:r>
        <w:rPr>
          <w:lang w:val="tr-TR"/>
        </w:rPr>
        <w:t xml:space="preserve"> tercih edilirse, x</w:t>
      </w:r>
      <w:r w:rsidRPr="00577647">
        <w:rPr>
          <w:vertAlign w:val="subscript"/>
          <w:lang w:val="tr-TR"/>
        </w:rPr>
        <w:t>0j</w:t>
      </w:r>
      <w:r w:rsidR="000F15C6">
        <w:rPr>
          <w:lang w:val="tr-TR"/>
        </w:rPr>
        <w:t>=</w:t>
      </w:r>
      <w:r w:rsidR="000F15C6" w:rsidRPr="00A15D4F">
        <w:rPr>
          <w:position w:val="-20"/>
        </w:rPr>
        <w:object w:dxaOrig="499" w:dyaOrig="440">
          <v:shape id="_x0000_i1027" type="#_x0000_t75" style="width:25.2pt;height:22.8pt" o:ole="">
            <v:imagedata r:id="rId12" o:title=""/>
          </v:shape>
          <o:OLEObject Type="Embed" ProgID="Equation.DSMT4" ShapeID="_x0000_i1027" DrawAspect="Content" ObjectID="_1610869993" r:id="rId13"/>
        </w:object>
      </w:r>
      <w:r>
        <w:rPr>
          <w:lang w:val="tr-TR"/>
        </w:rPr>
        <w:t>x</w:t>
      </w:r>
      <w:r w:rsidRPr="00577647">
        <w:rPr>
          <w:vertAlign w:val="subscript"/>
          <w:lang w:val="tr-TR"/>
        </w:rPr>
        <w:t>ij</w:t>
      </w:r>
      <w:r w:rsidR="00703083">
        <w:rPr>
          <w:lang w:val="tr-TR"/>
        </w:rPr>
        <w:t>,</w:t>
      </w:r>
    </w:p>
    <w:p w:rsidR="00577647" w:rsidRDefault="00577647" w:rsidP="00143656">
      <w:pPr>
        <w:spacing w:before="120" w:after="120"/>
        <w:ind w:firstLine="709"/>
        <w:rPr>
          <w:lang w:val="tr-TR"/>
        </w:rPr>
      </w:pPr>
      <w:r>
        <w:rPr>
          <w:lang w:val="tr-TR"/>
        </w:rPr>
        <w:t xml:space="preserve">Eğer </w:t>
      </w:r>
      <w:r w:rsidR="006E304E" w:rsidRPr="00A15D4F">
        <w:rPr>
          <w:position w:val="-20"/>
        </w:rPr>
        <w:object w:dxaOrig="440" w:dyaOrig="440">
          <v:shape id="_x0000_i1028" type="#_x0000_t75" style="width:22.8pt;height:22.8pt" o:ole="">
            <v:imagedata r:id="rId14" o:title=""/>
          </v:shape>
          <o:OLEObject Type="Embed" ProgID="Equation.DSMT4" ShapeID="_x0000_i1028" DrawAspect="Content" ObjectID="_1610869994" r:id="rId15"/>
        </w:object>
      </w:r>
      <w:r>
        <w:rPr>
          <w:lang w:val="tr-TR"/>
        </w:rPr>
        <w:t>x</w:t>
      </w:r>
      <w:r w:rsidRPr="00577647">
        <w:rPr>
          <w:vertAlign w:val="subscript"/>
          <w:lang w:val="tr-TR"/>
        </w:rPr>
        <w:t>ij</w:t>
      </w:r>
      <w:r w:rsidR="006E304E" w:rsidRPr="00577647">
        <w:rPr>
          <w:vertAlign w:val="superscript"/>
          <w:lang w:val="tr-TR"/>
        </w:rPr>
        <w:t>*</w:t>
      </w:r>
      <w:r>
        <w:rPr>
          <w:lang w:val="tr-TR"/>
        </w:rPr>
        <w:t xml:space="preserve"> tercih edilirse, x</w:t>
      </w:r>
      <w:r w:rsidRPr="00577647">
        <w:rPr>
          <w:vertAlign w:val="subscript"/>
          <w:lang w:val="tr-TR"/>
        </w:rPr>
        <w:t>0j</w:t>
      </w:r>
      <w:r>
        <w:rPr>
          <w:lang w:val="tr-TR"/>
        </w:rPr>
        <w:t>=</w:t>
      </w:r>
      <w:r w:rsidR="006E304E" w:rsidRPr="00A15D4F">
        <w:rPr>
          <w:position w:val="-20"/>
        </w:rPr>
        <w:object w:dxaOrig="440" w:dyaOrig="440">
          <v:shape id="_x0000_i1029" type="#_x0000_t75" style="width:22.8pt;height:22.8pt" o:ole="">
            <v:imagedata r:id="rId16" o:title=""/>
          </v:shape>
          <o:OLEObject Type="Embed" ProgID="Equation.DSMT4" ShapeID="_x0000_i1029" DrawAspect="Content" ObjectID="_1610869995" r:id="rId17"/>
        </w:object>
      </w:r>
      <w:r>
        <w:rPr>
          <w:lang w:val="tr-TR"/>
        </w:rPr>
        <w:t>x</w:t>
      </w:r>
      <w:r w:rsidRPr="00577647">
        <w:rPr>
          <w:vertAlign w:val="subscript"/>
          <w:lang w:val="tr-TR"/>
        </w:rPr>
        <w:t>ij</w:t>
      </w:r>
      <w:r w:rsidRPr="00577647">
        <w:rPr>
          <w:vertAlign w:val="superscript"/>
          <w:lang w:val="tr-TR"/>
        </w:rPr>
        <w:t>*</w:t>
      </w:r>
      <w:r w:rsidR="00B8731D">
        <w:rPr>
          <w:lang w:val="tr-TR"/>
        </w:rPr>
        <w:t xml:space="preserve"> olur.</w:t>
      </w:r>
    </w:p>
    <w:p w:rsidR="005669CD" w:rsidRDefault="00463188" w:rsidP="00FB1395">
      <w:pPr>
        <w:spacing w:before="120" w:after="120"/>
        <w:rPr>
          <w:lang w:val="tr-TR"/>
        </w:rPr>
      </w:pPr>
      <w:r w:rsidRPr="00463188">
        <w:rPr>
          <w:lang w:val="tr-TR"/>
        </w:rPr>
        <w:t>İkinci aşamada, tüm kriterlerin başlangıç değerleri normalize edilir.</w:t>
      </w:r>
      <w:r w:rsidR="0046055D">
        <w:rPr>
          <w:lang w:val="tr-TR"/>
        </w:rPr>
        <w:t xml:space="preserve"> N</w:t>
      </w:r>
      <w:r w:rsidR="0046055D" w:rsidRPr="0046055D">
        <w:rPr>
          <w:lang w:val="tr-TR"/>
        </w:rPr>
        <w:t>ormalleşti</w:t>
      </w:r>
      <w:r w:rsidR="00AD664A">
        <w:rPr>
          <w:lang w:val="tr-TR"/>
        </w:rPr>
        <w:t xml:space="preserve">rilmiş karar verme matrisi </w:t>
      </w:r>
      <w:r w:rsidR="00AD664A" w:rsidRPr="00A15D4F">
        <w:rPr>
          <w:position w:val="-4"/>
        </w:rPr>
        <w:object w:dxaOrig="279" w:dyaOrig="420">
          <v:shape id="_x0000_i1030" type="#_x0000_t75" style="width:13.8pt;height:21pt" o:ole="">
            <v:imagedata r:id="rId18" o:title=""/>
          </v:shape>
          <o:OLEObject Type="Embed" ProgID="Equation.DSMT4" ShapeID="_x0000_i1030" DrawAspect="Content" ObjectID="_1610869996" r:id="rId19"/>
        </w:object>
      </w:r>
      <w:r w:rsidR="0046055D" w:rsidRPr="0046055D">
        <w:rPr>
          <w:lang w:val="tr-TR"/>
        </w:rPr>
        <w:t>'in</w:t>
      </w:r>
      <w:r w:rsidR="0046055D">
        <w:rPr>
          <w:lang w:val="tr-TR"/>
        </w:rPr>
        <w:t>,</w:t>
      </w:r>
      <w:r w:rsidR="0046055D" w:rsidRPr="0046055D">
        <w:rPr>
          <w:lang w:val="tr-TR"/>
        </w:rPr>
        <w:t xml:space="preserve"> </w:t>
      </w:r>
      <w:r w:rsidR="00AD664A" w:rsidRPr="00A15D4F">
        <w:rPr>
          <w:position w:val="-14"/>
        </w:rPr>
        <w:object w:dxaOrig="300" w:dyaOrig="520">
          <v:shape id="_x0000_i1031" type="#_x0000_t75" style="width:15pt;height:25.8pt" o:ole="">
            <v:imagedata r:id="rId20" o:title=""/>
          </v:shape>
          <o:OLEObject Type="Embed" ProgID="Equation.DSMT4" ShapeID="_x0000_i1031" DrawAspect="Content" ObjectID="_1610869997" r:id="rId21"/>
        </w:object>
      </w:r>
      <w:r w:rsidR="0046055D" w:rsidRPr="0046055D">
        <w:rPr>
          <w:lang w:val="tr-TR"/>
        </w:rPr>
        <w:t xml:space="preserve"> değerleri tanımlanır.</w:t>
      </w:r>
    </w:p>
    <w:p w:rsidR="00424FC8" w:rsidRPr="00B8731D" w:rsidRDefault="00F511D3" w:rsidP="00143656">
      <w:pPr>
        <w:spacing w:before="120" w:after="120"/>
        <w:ind w:firstLine="709"/>
        <w:rPr>
          <w:lang w:val="tr-TR"/>
        </w:rPr>
      </w:pPr>
      <w:r w:rsidRPr="00A15D4F">
        <w:rPr>
          <w:position w:val="-106"/>
        </w:rPr>
        <w:object w:dxaOrig="4700" w:dyaOrig="2240">
          <v:shape id="_x0000_i1032" type="#_x0000_t75" style="width:218.4pt;height:103.2pt" o:ole="">
            <v:imagedata r:id="rId22" o:title=""/>
          </v:shape>
          <o:OLEObject Type="Embed" ProgID="Equation.DSMT4" ShapeID="_x0000_i1032" DrawAspect="Content" ObjectID="_1610869998" r:id="rId23"/>
        </w:object>
      </w:r>
      <w:r w:rsidR="00424FC8">
        <w:t xml:space="preserve">                                                           (2)</w:t>
      </w:r>
    </w:p>
    <w:p w:rsidR="00756F8B" w:rsidRDefault="00756F8B" w:rsidP="00143656">
      <w:pPr>
        <w:spacing w:before="120" w:after="120"/>
        <w:ind w:firstLine="709"/>
        <w:rPr>
          <w:lang w:val="tr-TR"/>
        </w:rPr>
      </w:pPr>
      <w:r w:rsidRPr="00D153E1">
        <w:rPr>
          <w:lang w:val="tr-TR"/>
        </w:rPr>
        <w:t>Tercih edilen değerler</w:t>
      </w:r>
      <w:r w:rsidR="00D153E1" w:rsidRPr="00D153E1">
        <w:rPr>
          <w:lang w:val="tr-TR"/>
        </w:rPr>
        <w:t>i maksimum olan kriterler</w:t>
      </w:r>
      <w:r w:rsidRPr="00D153E1">
        <w:rPr>
          <w:lang w:val="tr-TR"/>
        </w:rPr>
        <w:t xml:space="preserve"> aşa</w:t>
      </w:r>
      <w:r w:rsidR="00D153E1" w:rsidRPr="00D153E1">
        <w:rPr>
          <w:lang w:val="tr-TR"/>
        </w:rPr>
        <w:t>ğıdaki gibi normalize edilir</w:t>
      </w:r>
      <w:r w:rsidRPr="00D153E1">
        <w:rPr>
          <w:lang w:val="tr-TR"/>
        </w:rPr>
        <w:t>:</w:t>
      </w:r>
    </w:p>
    <w:p w:rsidR="001854CE" w:rsidRPr="00D153E1" w:rsidRDefault="001854CE" w:rsidP="00143656">
      <w:pPr>
        <w:spacing w:before="120" w:after="120"/>
        <w:ind w:firstLine="709"/>
        <w:rPr>
          <w:lang w:val="tr-TR"/>
        </w:rPr>
      </w:pPr>
      <w:r w:rsidRPr="00A15D4F">
        <w:rPr>
          <w:position w:val="-60"/>
        </w:rPr>
        <w:object w:dxaOrig="1100" w:dyaOrig="1020">
          <v:shape id="_x0000_i1033" type="#_x0000_t75" style="width:55.2pt;height:51pt" o:ole="">
            <v:imagedata r:id="rId24" o:title=""/>
          </v:shape>
          <o:OLEObject Type="Embed" ProgID="Equation.DSMT4" ShapeID="_x0000_i1033" DrawAspect="Content" ObjectID="_1610869999" r:id="rId25"/>
        </w:object>
      </w:r>
      <w:r>
        <w:t xml:space="preserve">                                                                                                                    (3)</w:t>
      </w:r>
    </w:p>
    <w:p w:rsidR="00D73247" w:rsidRDefault="00D73247" w:rsidP="00FB1395">
      <w:pPr>
        <w:spacing w:before="120" w:after="120"/>
        <w:rPr>
          <w:lang w:val="tr-TR"/>
        </w:rPr>
      </w:pPr>
      <w:r w:rsidRPr="00103B4C">
        <w:rPr>
          <w:lang w:val="tr-TR"/>
        </w:rPr>
        <w:t>Tercih edilen değerler</w:t>
      </w:r>
      <w:r w:rsidR="00103B4C" w:rsidRPr="00103B4C">
        <w:rPr>
          <w:lang w:val="tr-TR"/>
        </w:rPr>
        <w:t>i minimum olan kriterler</w:t>
      </w:r>
      <w:r w:rsidRPr="00103B4C">
        <w:rPr>
          <w:lang w:val="tr-TR"/>
        </w:rPr>
        <w:t>, iki aşamalı prosedür uygulayarak normalleştirilir:</w:t>
      </w:r>
    </w:p>
    <w:p w:rsidR="00103B4C" w:rsidRDefault="00103B4C" w:rsidP="00143656">
      <w:pPr>
        <w:spacing w:before="120" w:after="120"/>
        <w:ind w:firstLine="709"/>
        <w:rPr>
          <w:lang w:val="tr-TR"/>
        </w:rPr>
      </w:pPr>
      <w:r w:rsidRPr="00A15D4F">
        <w:rPr>
          <w:position w:val="-32"/>
        </w:rPr>
        <w:object w:dxaOrig="880" w:dyaOrig="700">
          <v:shape id="_x0000_i1034" type="#_x0000_t75" style="width:43.8pt;height:34.8pt" o:ole="">
            <v:imagedata r:id="rId26" o:title=""/>
          </v:shape>
          <o:OLEObject Type="Embed" ProgID="Equation.DSMT4" ShapeID="_x0000_i1034" DrawAspect="Content" ObjectID="_1610870000" r:id="rId27"/>
        </w:object>
      </w:r>
      <w:r>
        <w:t xml:space="preserve">; </w:t>
      </w:r>
      <w:r w:rsidR="008E16B9" w:rsidRPr="00A15D4F">
        <w:rPr>
          <w:position w:val="-60"/>
        </w:rPr>
        <w:object w:dxaOrig="1100" w:dyaOrig="1020">
          <v:shape id="_x0000_i1035" type="#_x0000_t75" style="width:55.2pt;height:51pt" o:ole="">
            <v:imagedata r:id="rId28" o:title=""/>
          </v:shape>
          <o:OLEObject Type="Embed" ProgID="Equation.DSMT4" ShapeID="_x0000_i1035" DrawAspect="Content" ObjectID="_1610870001" r:id="rId29"/>
        </w:object>
      </w:r>
      <w:r>
        <w:t xml:space="preserve">                                                                                                   (4)</w:t>
      </w:r>
    </w:p>
    <w:p w:rsidR="003C2BA1" w:rsidRDefault="003C2BA1" w:rsidP="00FB1395">
      <w:pPr>
        <w:spacing w:before="120" w:after="120"/>
        <w:rPr>
          <w:lang w:val="tr-TR"/>
        </w:rPr>
      </w:pPr>
      <w:r w:rsidRPr="00E24B2F">
        <w:rPr>
          <w:lang w:val="tr-TR"/>
        </w:rPr>
        <w:t>Üçüncü aşama normalleştirilmiş a</w:t>
      </w:r>
      <w:r w:rsidR="00E24B2F" w:rsidRPr="00E24B2F">
        <w:rPr>
          <w:lang w:val="tr-TR"/>
        </w:rPr>
        <w:t>ğırlıklı matrisi</w:t>
      </w:r>
      <w:r w:rsidR="00E24B2F">
        <w:rPr>
          <w:lang w:val="tr-TR"/>
        </w:rPr>
        <w:t xml:space="preserve"> </w:t>
      </w:r>
      <w:r w:rsidR="00E24B2F" w:rsidRPr="00E24B2F">
        <w:rPr>
          <w:lang w:val="tr-TR"/>
        </w:rPr>
        <w:t xml:space="preserve"> </w:t>
      </w:r>
      <w:r w:rsidR="00E24B2F" w:rsidRPr="00A15D4F">
        <w:rPr>
          <w:position w:val="-4"/>
        </w:rPr>
        <w:object w:dxaOrig="279" w:dyaOrig="420">
          <v:shape id="_x0000_i1036" type="#_x0000_t75" style="width:13.8pt;height:21pt" o:ole="">
            <v:imagedata r:id="rId30" o:title=""/>
          </v:shape>
          <o:OLEObject Type="Embed" ProgID="Equation.DSMT4" ShapeID="_x0000_i1036" DrawAspect="Content" ObjectID="_1610870002" r:id="rId31"/>
        </w:object>
      </w:r>
      <w:r w:rsidR="00E24B2F">
        <w:t xml:space="preserve">’i </w:t>
      </w:r>
      <w:r w:rsidR="00E24B2F" w:rsidRPr="00E24B2F">
        <w:rPr>
          <w:lang w:val="tr-TR"/>
        </w:rPr>
        <w:t>tanımlamaktır.</w:t>
      </w:r>
      <w:r w:rsidRPr="00E24B2F">
        <w:rPr>
          <w:lang w:val="tr-TR"/>
        </w:rPr>
        <w:t xml:space="preserve"> </w:t>
      </w:r>
      <w:r w:rsidR="00157D8C" w:rsidRPr="00157D8C">
        <w:rPr>
          <w:lang w:val="tr-TR"/>
        </w:rPr>
        <w:t>0 &lt;w</w:t>
      </w:r>
      <w:r w:rsidR="00157D8C" w:rsidRPr="00157D8C">
        <w:rPr>
          <w:vertAlign w:val="subscript"/>
          <w:lang w:val="tr-TR"/>
        </w:rPr>
        <w:t>j</w:t>
      </w:r>
      <w:r w:rsidR="00157D8C" w:rsidRPr="00157D8C">
        <w:rPr>
          <w:lang w:val="tr-TR"/>
        </w:rPr>
        <w:t xml:space="preserve"> &lt;1 olan ağırlıkları olan kriterleri değerlendirmek mümkündür.</w:t>
      </w:r>
      <w:r w:rsidR="004C1DE0">
        <w:rPr>
          <w:lang w:val="tr-TR"/>
        </w:rPr>
        <w:t xml:space="preserve"> </w:t>
      </w:r>
      <w:r w:rsidR="004C1DE0" w:rsidRPr="004C1DE0">
        <w:rPr>
          <w:lang w:val="tr-TR"/>
        </w:rPr>
        <w:t>Ağırlıkların toplamı w</w:t>
      </w:r>
      <w:r w:rsidR="004C1DE0" w:rsidRPr="004C1DE0">
        <w:rPr>
          <w:vertAlign w:val="subscript"/>
          <w:lang w:val="tr-TR"/>
        </w:rPr>
        <w:t>j</w:t>
      </w:r>
      <w:r w:rsidR="004C1DE0" w:rsidRPr="004C1DE0">
        <w:rPr>
          <w:lang w:val="tr-TR"/>
        </w:rPr>
        <w:t xml:space="preserve"> şu şekilde sınırlandırılacaktır:</w:t>
      </w:r>
    </w:p>
    <w:p w:rsidR="005472FA" w:rsidRDefault="000250F1" w:rsidP="005472FA">
      <w:pPr>
        <w:spacing w:before="120" w:after="120"/>
        <w:ind w:firstLine="709"/>
      </w:pPr>
      <w:r w:rsidRPr="00A15D4F">
        <w:rPr>
          <w:position w:val="-30"/>
        </w:rPr>
        <w:object w:dxaOrig="920" w:dyaOrig="700">
          <v:shape id="_x0000_i1037" type="#_x0000_t75" style="width:46.8pt;height:34.8pt" o:ole="">
            <v:imagedata r:id="rId32" o:title=""/>
          </v:shape>
          <o:OLEObject Type="Embed" ProgID="Equation.DSMT4" ShapeID="_x0000_i1037" DrawAspect="Content" ObjectID="_1610870003" r:id="rId33"/>
        </w:object>
      </w:r>
      <w:r w:rsidR="005472FA">
        <w:t xml:space="preserve">                                                                                                                       (5)</w:t>
      </w:r>
    </w:p>
    <w:p w:rsidR="005472FA" w:rsidRPr="005472FA" w:rsidRDefault="00FF6EC2" w:rsidP="005472FA">
      <w:pPr>
        <w:spacing w:before="120" w:after="120"/>
        <w:ind w:firstLine="709"/>
      </w:pPr>
      <w:r w:rsidRPr="00A15D4F">
        <w:rPr>
          <w:position w:val="-106"/>
        </w:rPr>
        <w:object w:dxaOrig="4700" w:dyaOrig="2240">
          <v:shape id="_x0000_i1038" type="#_x0000_t75" style="width:216.6pt;height:103.2pt" o:ole="">
            <v:imagedata r:id="rId34" o:title=""/>
          </v:shape>
          <o:OLEObject Type="Embed" ProgID="Equation.DSMT4" ShapeID="_x0000_i1038" DrawAspect="Content" ObjectID="_1610870004" r:id="rId35"/>
        </w:object>
      </w:r>
      <w:r w:rsidR="006A26A8">
        <w:t xml:space="preserve">                                                           </w:t>
      </w:r>
      <w:r w:rsidR="00026CD8">
        <w:t xml:space="preserve"> </w:t>
      </w:r>
      <w:r w:rsidR="006A26A8">
        <w:t xml:space="preserve"> (6)</w:t>
      </w:r>
    </w:p>
    <w:p w:rsidR="000B3E7F" w:rsidRDefault="000B3E7F" w:rsidP="00143656">
      <w:pPr>
        <w:spacing w:before="120" w:after="120"/>
        <w:ind w:firstLine="709"/>
        <w:rPr>
          <w:lang w:val="tr-TR"/>
        </w:rPr>
      </w:pPr>
      <w:r w:rsidRPr="000B3E7F">
        <w:rPr>
          <w:lang w:val="tr-TR"/>
        </w:rPr>
        <w:t>Bütün kriterlerin normalleştirilmiş ağırlıklı değerleri aşağıdaki gibi hesaplanır:</w:t>
      </w:r>
    </w:p>
    <w:p w:rsidR="000B3E7F" w:rsidRDefault="008B7E69" w:rsidP="00143656">
      <w:pPr>
        <w:spacing w:before="120" w:after="120"/>
        <w:ind w:firstLine="709"/>
      </w:pPr>
      <w:r w:rsidRPr="00A15D4F">
        <w:rPr>
          <w:position w:val="-14"/>
        </w:rPr>
        <w:object w:dxaOrig="2040" w:dyaOrig="520">
          <v:shape id="_x0000_i1039" type="#_x0000_t75" style="width:102pt;height:25.8pt" o:ole="">
            <v:imagedata r:id="rId36" o:title=""/>
          </v:shape>
          <o:OLEObject Type="Embed" ProgID="Equation.DSMT4" ShapeID="_x0000_i1039" DrawAspect="Content" ObjectID="_1610870005" r:id="rId37"/>
        </w:object>
      </w:r>
      <w:r>
        <w:t xml:space="preserve">                                                                                                    (7)</w:t>
      </w:r>
    </w:p>
    <w:p w:rsidR="00655FBE" w:rsidRDefault="00655FBE" w:rsidP="00FB1395">
      <w:pPr>
        <w:spacing w:before="120" w:after="120"/>
        <w:rPr>
          <w:lang w:val="tr-TR"/>
        </w:rPr>
      </w:pPr>
      <w:r w:rsidRPr="00655FBE">
        <w:rPr>
          <w:lang w:val="tr-TR"/>
        </w:rPr>
        <w:t>Yukarıdaki denklemde</w:t>
      </w:r>
      <w:r w:rsidR="0027587A">
        <w:rPr>
          <w:lang w:val="tr-TR"/>
        </w:rPr>
        <w:t xml:space="preserve"> yer alan</w:t>
      </w:r>
      <w:r w:rsidRPr="00655FBE">
        <w:rPr>
          <w:lang w:val="tr-TR"/>
        </w:rPr>
        <w:t xml:space="preserve"> </w:t>
      </w:r>
      <w:r w:rsidR="00591683">
        <w:rPr>
          <w:lang w:val="tr-TR"/>
        </w:rPr>
        <w:t>“</w:t>
      </w:r>
      <w:r w:rsidRPr="00655FBE">
        <w:rPr>
          <w:lang w:val="tr-TR"/>
        </w:rPr>
        <w:t>w</w:t>
      </w:r>
      <w:r w:rsidRPr="00432E37">
        <w:rPr>
          <w:vertAlign w:val="subscript"/>
          <w:lang w:val="tr-TR"/>
        </w:rPr>
        <w:t>j</w:t>
      </w:r>
      <w:r w:rsidR="00591683">
        <w:rPr>
          <w:lang w:val="tr-TR"/>
        </w:rPr>
        <w:t>”</w:t>
      </w:r>
      <w:r w:rsidRPr="00655FBE">
        <w:rPr>
          <w:lang w:val="tr-TR"/>
        </w:rPr>
        <w:t xml:space="preserve"> </w:t>
      </w:r>
      <w:r w:rsidR="000F5191">
        <w:rPr>
          <w:lang w:val="tr-TR"/>
        </w:rPr>
        <w:t xml:space="preserve">j </w:t>
      </w:r>
      <w:r w:rsidRPr="00655FBE">
        <w:rPr>
          <w:lang w:val="tr-TR"/>
        </w:rPr>
        <w:t xml:space="preserve">kriterinin ağırlığını (önemi) ve </w:t>
      </w:r>
      <w:r w:rsidR="0027587A">
        <w:rPr>
          <w:lang w:val="tr-TR"/>
        </w:rPr>
        <w:t>“</w:t>
      </w:r>
      <w:r w:rsidR="000F5191" w:rsidRPr="00A15D4F">
        <w:rPr>
          <w:position w:val="-14"/>
        </w:rPr>
        <w:object w:dxaOrig="300" w:dyaOrig="520">
          <v:shape id="_x0000_i1040" type="#_x0000_t75" style="width:15pt;height:25.8pt" o:ole="">
            <v:imagedata r:id="rId20" o:title=""/>
          </v:shape>
          <o:OLEObject Type="Embed" ProgID="Equation.DSMT4" ShapeID="_x0000_i1040" DrawAspect="Content" ObjectID="_1610870006" r:id="rId38"/>
        </w:object>
      </w:r>
      <w:r w:rsidR="0027587A">
        <w:rPr>
          <w:lang w:val="tr-TR"/>
        </w:rPr>
        <w:t>”</w:t>
      </w:r>
      <w:r w:rsidR="00D852D2">
        <w:rPr>
          <w:lang w:val="tr-TR"/>
        </w:rPr>
        <w:t>,</w:t>
      </w:r>
      <w:r w:rsidR="000F5191">
        <w:rPr>
          <w:lang w:val="tr-TR"/>
        </w:rPr>
        <w:t xml:space="preserve"> j </w:t>
      </w:r>
      <w:r w:rsidR="000F5191" w:rsidRPr="00655FBE">
        <w:rPr>
          <w:lang w:val="tr-TR"/>
        </w:rPr>
        <w:t>kriterinin</w:t>
      </w:r>
      <w:r w:rsidR="00D852D2">
        <w:rPr>
          <w:lang w:val="tr-TR"/>
        </w:rPr>
        <w:t xml:space="preserve"> </w:t>
      </w:r>
      <w:r w:rsidR="00C511A6">
        <w:rPr>
          <w:lang w:val="tr-TR"/>
        </w:rPr>
        <w:t>normalize edilmiş değerini</w:t>
      </w:r>
      <w:r w:rsidR="0027587A">
        <w:rPr>
          <w:lang w:val="tr-TR"/>
        </w:rPr>
        <w:t xml:space="preserve"> göstermektedir</w:t>
      </w:r>
      <w:r w:rsidRPr="00655FBE">
        <w:rPr>
          <w:lang w:val="tr-TR"/>
        </w:rPr>
        <w:t>.</w:t>
      </w:r>
    </w:p>
    <w:p w:rsidR="00432E37" w:rsidRDefault="00432E37" w:rsidP="00143656">
      <w:pPr>
        <w:spacing w:before="120" w:after="120"/>
        <w:ind w:firstLine="709"/>
        <w:rPr>
          <w:lang w:val="tr-TR"/>
        </w:rPr>
      </w:pPr>
      <w:r w:rsidRPr="00432E37">
        <w:rPr>
          <w:lang w:val="tr-TR"/>
        </w:rPr>
        <w:t>Aşağıdaki denklem optimalite fonksiyonunun değerlerini belirlemektir:</w:t>
      </w:r>
    </w:p>
    <w:p w:rsidR="007B6F78" w:rsidRDefault="00EC6578" w:rsidP="00143656">
      <w:pPr>
        <w:spacing w:before="120" w:after="120"/>
        <w:ind w:firstLine="709"/>
        <w:rPr>
          <w:lang w:val="tr-TR"/>
        </w:rPr>
      </w:pPr>
      <w:r w:rsidRPr="00A15D4F">
        <w:rPr>
          <w:position w:val="-30"/>
        </w:rPr>
        <w:object w:dxaOrig="2000" w:dyaOrig="700">
          <v:shape id="_x0000_i1041" type="#_x0000_t75" style="width:100.8pt;height:34.8pt" o:ole="">
            <v:imagedata r:id="rId39" o:title=""/>
          </v:shape>
          <o:OLEObject Type="Embed" ProgID="Equation.DSMT4" ShapeID="_x0000_i1041" DrawAspect="Content" ObjectID="_1610870007" r:id="rId40"/>
        </w:object>
      </w:r>
      <w:r>
        <w:t xml:space="preserve">                                                                                                     (8)</w:t>
      </w:r>
    </w:p>
    <w:p w:rsidR="00B87B33" w:rsidRDefault="00B87B33" w:rsidP="00FB1395">
      <w:pPr>
        <w:spacing w:before="120" w:after="120"/>
        <w:rPr>
          <w:lang w:val="tr-TR"/>
        </w:rPr>
      </w:pPr>
      <w:r w:rsidRPr="00B87B33">
        <w:rPr>
          <w:lang w:val="tr-TR"/>
        </w:rPr>
        <w:t xml:space="preserve">Burada </w:t>
      </w:r>
      <w:r w:rsidR="00BC69DD">
        <w:rPr>
          <w:lang w:val="tr-TR"/>
        </w:rPr>
        <w:t>“</w:t>
      </w:r>
      <w:r w:rsidRPr="00B87B33">
        <w:rPr>
          <w:lang w:val="tr-TR"/>
        </w:rPr>
        <w:t>S</w:t>
      </w:r>
      <w:r w:rsidRPr="00B87B33">
        <w:rPr>
          <w:vertAlign w:val="subscript"/>
          <w:lang w:val="tr-TR"/>
        </w:rPr>
        <w:t>i</w:t>
      </w:r>
      <w:r w:rsidR="00BC69DD">
        <w:rPr>
          <w:lang w:val="tr-TR"/>
        </w:rPr>
        <w:t>”</w:t>
      </w:r>
      <w:r w:rsidRPr="00B87B33">
        <w:rPr>
          <w:lang w:val="tr-TR"/>
        </w:rPr>
        <w:t>, i alternatifinin o</w:t>
      </w:r>
      <w:r w:rsidR="001C78D7">
        <w:rPr>
          <w:lang w:val="tr-TR"/>
        </w:rPr>
        <w:t>ptimallik fonksiyonunun değeridi</w:t>
      </w:r>
      <w:r w:rsidRPr="00B87B33">
        <w:rPr>
          <w:lang w:val="tr-TR"/>
        </w:rPr>
        <w:t>r.</w:t>
      </w:r>
      <w:r w:rsidR="001D510E">
        <w:rPr>
          <w:lang w:val="tr-TR"/>
        </w:rPr>
        <w:t xml:space="preserve"> </w:t>
      </w:r>
      <w:r w:rsidR="001D510E" w:rsidRPr="001D510E">
        <w:rPr>
          <w:lang w:val="tr-TR"/>
        </w:rPr>
        <w:t>Alternatiflerin öncelikleri S</w:t>
      </w:r>
      <w:r w:rsidR="001D510E" w:rsidRPr="001D510E">
        <w:rPr>
          <w:vertAlign w:val="subscript"/>
          <w:lang w:val="tr-TR"/>
        </w:rPr>
        <w:t>i</w:t>
      </w:r>
      <w:r w:rsidR="001D510E" w:rsidRPr="001D510E">
        <w:rPr>
          <w:lang w:val="tr-TR"/>
        </w:rPr>
        <w:t xml:space="preserve"> değerine göre belirlenebilir.</w:t>
      </w:r>
    </w:p>
    <w:p w:rsidR="000D2C32" w:rsidRDefault="000D2C32" w:rsidP="00FB1395">
      <w:pPr>
        <w:spacing w:before="120" w:after="120"/>
        <w:rPr>
          <w:lang w:val="tr-TR"/>
        </w:rPr>
      </w:pPr>
      <w:r w:rsidRPr="000D2C32">
        <w:rPr>
          <w:lang w:val="tr-TR"/>
        </w:rPr>
        <w:t>Alternatifin fayda derecesi, analiz</w:t>
      </w:r>
      <w:r w:rsidR="00F907C0">
        <w:rPr>
          <w:lang w:val="tr-TR"/>
        </w:rPr>
        <w:t xml:space="preserve"> edilen değişkenin</w:t>
      </w:r>
      <w:r w:rsidRPr="000D2C32">
        <w:rPr>
          <w:lang w:val="tr-TR"/>
        </w:rPr>
        <w:t>, ideal olarak en iyi bir S</w:t>
      </w:r>
      <w:r w:rsidRPr="008B3060">
        <w:rPr>
          <w:vertAlign w:val="subscript"/>
          <w:lang w:val="tr-TR"/>
        </w:rPr>
        <w:t>0</w:t>
      </w:r>
      <w:r w:rsidRPr="000D2C32">
        <w:rPr>
          <w:lang w:val="tr-TR"/>
        </w:rPr>
        <w:t xml:space="preserve"> </w:t>
      </w:r>
      <w:r w:rsidR="00F907C0">
        <w:rPr>
          <w:lang w:val="tr-TR"/>
        </w:rPr>
        <w:t xml:space="preserve">ile </w:t>
      </w:r>
      <w:r w:rsidRPr="000D2C32">
        <w:rPr>
          <w:lang w:val="tr-TR"/>
        </w:rPr>
        <w:t>karşılaştırılmasıyla saptanır.</w:t>
      </w:r>
      <w:r w:rsidR="004E0CAF">
        <w:rPr>
          <w:lang w:val="tr-TR"/>
        </w:rPr>
        <w:t xml:space="preserve"> </w:t>
      </w:r>
      <w:r w:rsidR="004E0CAF" w:rsidRPr="004E0CAF">
        <w:rPr>
          <w:lang w:val="tr-TR"/>
        </w:rPr>
        <w:t>Alternatif bir a</w:t>
      </w:r>
      <w:r w:rsidR="004E0CAF" w:rsidRPr="004E0CAF">
        <w:rPr>
          <w:vertAlign w:val="subscript"/>
          <w:lang w:val="tr-TR"/>
        </w:rPr>
        <w:t>i'</w:t>
      </w:r>
      <w:r w:rsidR="00FE6EA4">
        <w:rPr>
          <w:lang w:val="tr-TR"/>
        </w:rPr>
        <w:t>nin fayda</w:t>
      </w:r>
      <w:r w:rsidR="004E0CAF" w:rsidRPr="004E0CAF">
        <w:rPr>
          <w:lang w:val="tr-TR"/>
        </w:rPr>
        <w:t xml:space="preserve"> derecesi K</w:t>
      </w:r>
      <w:r w:rsidR="004E0CAF" w:rsidRPr="004E0CAF">
        <w:rPr>
          <w:vertAlign w:val="subscript"/>
          <w:lang w:val="tr-TR"/>
        </w:rPr>
        <w:t>i</w:t>
      </w:r>
      <w:r w:rsidR="004E0CAF" w:rsidRPr="004E0CAF">
        <w:rPr>
          <w:lang w:val="tr-TR"/>
        </w:rPr>
        <w:t>'nin hesaplanması için kullanılan denklem aşağıda verilmiştir:</w:t>
      </w:r>
    </w:p>
    <w:p w:rsidR="00BF2FE4" w:rsidRDefault="00BF2FE4" w:rsidP="00143656">
      <w:pPr>
        <w:spacing w:before="120" w:after="120"/>
        <w:ind w:firstLine="709"/>
        <w:rPr>
          <w:lang w:val="tr-TR"/>
        </w:rPr>
      </w:pPr>
      <w:r w:rsidRPr="00A15D4F">
        <w:rPr>
          <w:position w:val="-30"/>
        </w:rPr>
        <w:object w:dxaOrig="1840" w:dyaOrig="680">
          <v:shape id="_x0000_i1042" type="#_x0000_t75" style="width:91.8pt;height:34.8pt" o:ole="">
            <v:imagedata r:id="rId41" o:title=""/>
          </v:shape>
          <o:OLEObject Type="Embed" ProgID="Equation.DSMT4" ShapeID="_x0000_i1042" DrawAspect="Content" ObjectID="_1610870008" r:id="rId42"/>
        </w:object>
      </w:r>
      <w:r>
        <w:t xml:space="preserve">                                                                                                        (9)</w:t>
      </w:r>
    </w:p>
    <w:p w:rsidR="00D708D0" w:rsidRPr="00E61281" w:rsidRDefault="00D708D0" w:rsidP="00FB1395">
      <w:pPr>
        <w:spacing w:before="120" w:after="120"/>
        <w:rPr>
          <w:lang w:val="tr-TR"/>
        </w:rPr>
      </w:pPr>
      <w:r>
        <w:rPr>
          <w:lang w:val="tr-TR"/>
        </w:rPr>
        <w:t xml:space="preserve">Denklemde yer alan </w:t>
      </w:r>
      <w:r w:rsidR="00D52818">
        <w:rPr>
          <w:lang w:val="tr-TR"/>
        </w:rPr>
        <w:t>“</w:t>
      </w:r>
      <w:r w:rsidRPr="00D708D0">
        <w:rPr>
          <w:lang w:val="tr-TR"/>
        </w:rPr>
        <w:t>S</w:t>
      </w:r>
      <w:r w:rsidRPr="00D708D0">
        <w:rPr>
          <w:vertAlign w:val="subscript"/>
          <w:lang w:val="tr-TR"/>
        </w:rPr>
        <w:t>i</w:t>
      </w:r>
      <w:r w:rsidR="00D52818">
        <w:rPr>
          <w:lang w:val="tr-TR"/>
        </w:rPr>
        <w:t>”</w:t>
      </w:r>
      <w:r w:rsidRPr="00D708D0">
        <w:rPr>
          <w:lang w:val="tr-TR"/>
        </w:rPr>
        <w:t xml:space="preserve"> ve </w:t>
      </w:r>
      <w:r w:rsidR="00D52818">
        <w:rPr>
          <w:lang w:val="tr-TR"/>
        </w:rPr>
        <w:t>“</w:t>
      </w:r>
      <w:r w:rsidRPr="00D708D0">
        <w:rPr>
          <w:lang w:val="tr-TR"/>
        </w:rPr>
        <w:t>S</w:t>
      </w:r>
      <w:r w:rsidRPr="00D708D0">
        <w:rPr>
          <w:vertAlign w:val="subscript"/>
          <w:lang w:val="tr-TR"/>
        </w:rPr>
        <w:t>0</w:t>
      </w:r>
      <w:r w:rsidR="00D52818">
        <w:rPr>
          <w:lang w:val="tr-TR"/>
        </w:rPr>
        <w:t>”</w:t>
      </w:r>
      <w:r>
        <w:rPr>
          <w:lang w:val="tr-TR"/>
        </w:rPr>
        <w:t xml:space="preserve"> optimallik kriter değerleridir.</w:t>
      </w:r>
      <w:r w:rsidR="00E61281">
        <w:rPr>
          <w:lang w:val="tr-TR"/>
        </w:rPr>
        <w:t xml:space="preserve"> Hesaplanan K</w:t>
      </w:r>
      <w:r w:rsidR="00E61281" w:rsidRPr="00E61281">
        <w:rPr>
          <w:vertAlign w:val="subscript"/>
          <w:lang w:val="tr-TR"/>
        </w:rPr>
        <w:t>i</w:t>
      </w:r>
      <w:r w:rsidR="00E61281">
        <w:rPr>
          <w:lang w:val="tr-TR"/>
        </w:rPr>
        <w:t xml:space="preserve"> değerleri [0,1] aralığındadır.</w:t>
      </w:r>
      <w:r w:rsidR="006B4847">
        <w:rPr>
          <w:lang w:val="tr-TR"/>
        </w:rPr>
        <w:t xml:space="preserve"> Alternatifler </w:t>
      </w:r>
      <w:r w:rsidR="00D52818">
        <w:rPr>
          <w:lang w:val="tr-TR"/>
        </w:rPr>
        <w:t>“</w:t>
      </w:r>
      <w:r w:rsidR="006B4847">
        <w:rPr>
          <w:lang w:val="tr-TR"/>
        </w:rPr>
        <w:t>K</w:t>
      </w:r>
      <w:r w:rsidR="006B4847" w:rsidRPr="006B4847">
        <w:rPr>
          <w:vertAlign w:val="subscript"/>
          <w:lang w:val="tr-TR"/>
        </w:rPr>
        <w:t>i</w:t>
      </w:r>
      <w:r w:rsidR="00D52818">
        <w:rPr>
          <w:lang w:val="tr-TR"/>
        </w:rPr>
        <w:t>”</w:t>
      </w:r>
      <w:r w:rsidR="006B4847">
        <w:rPr>
          <w:lang w:val="tr-TR"/>
        </w:rPr>
        <w:t xml:space="preserve"> değerlerine göre </w:t>
      </w:r>
      <w:r w:rsidR="00112699">
        <w:rPr>
          <w:lang w:val="tr-TR"/>
        </w:rPr>
        <w:t>sıralanır.</w:t>
      </w:r>
    </w:p>
    <w:p w:rsidR="00C11C33" w:rsidRDefault="00AB473A" w:rsidP="00FB1395">
      <w:pPr>
        <w:spacing w:before="120" w:after="120"/>
        <w:rPr>
          <w:lang w:val="tr-TR"/>
        </w:rPr>
      </w:pPr>
      <w:r>
        <w:rPr>
          <w:lang w:val="tr-TR"/>
        </w:rPr>
        <w:t>Ç</w:t>
      </w:r>
      <w:r w:rsidR="00FB1395">
        <w:rPr>
          <w:lang w:val="tr-TR"/>
        </w:rPr>
        <w:t>alışmada ARAS Y</w:t>
      </w:r>
      <w:r w:rsidR="00431E08">
        <w:rPr>
          <w:lang w:val="tr-TR"/>
        </w:rPr>
        <w:t xml:space="preserve">öntemi kullanılarak </w:t>
      </w:r>
      <w:r w:rsidR="00A74899">
        <w:rPr>
          <w:lang w:val="tr-TR"/>
        </w:rPr>
        <w:t xml:space="preserve">2015 yılı için </w:t>
      </w:r>
      <w:r w:rsidR="00431E08">
        <w:rPr>
          <w:lang w:val="tr-TR"/>
        </w:rPr>
        <w:t>Avrupa ülkelerinin bilim ve teknoloji göstergeleri açısından performansları değerlendirilmiştir. Bu kapsamda verisine ulaşılabilir 26 Avrupa ülkesi analiz edilmiştir.</w:t>
      </w:r>
      <w:r w:rsidR="00421DAC">
        <w:rPr>
          <w:lang w:val="tr-TR"/>
        </w:rPr>
        <w:t xml:space="preserve"> Çalışmada </w:t>
      </w:r>
      <w:r w:rsidR="00B810A2">
        <w:rPr>
          <w:lang w:val="tr-TR"/>
        </w:rPr>
        <w:t xml:space="preserve">milyon kişi başına </w:t>
      </w:r>
      <w:r w:rsidR="004D6451">
        <w:rPr>
          <w:lang w:val="tr-TR"/>
        </w:rPr>
        <w:t>Ar-Ge</w:t>
      </w:r>
      <w:r w:rsidR="00B810A2">
        <w:rPr>
          <w:lang w:val="tr-TR"/>
        </w:rPr>
        <w:t xml:space="preserve"> araştırmacıları sayısı</w:t>
      </w:r>
      <w:r w:rsidR="00421DAC">
        <w:rPr>
          <w:lang w:val="tr-TR"/>
        </w:rPr>
        <w:t>,</w:t>
      </w:r>
      <w:r w:rsidR="00BE551B">
        <w:rPr>
          <w:lang w:val="tr-TR"/>
        </w:rPr>
        <w:t xml:space="preserve"> </w:t>
      </w:r>
      <w:r w:rsidR="0066327F" w:rsidRPr="00BE551B">
        <w:rPr>
          <w:lang w:val="tr-TR"/>
        </w:rPr>
        <w:t>GSYH’nin</w:t>
      </w:r>
      <w:r w:rsidR="00B810A2" w:rsidRPr="00BE551B">
        <w:rPr>
          <w:lang w:val="tr-TR"/>
        </w:rPr>
        <w:t xml:space="preserve"> yüzdesi olarak</w:t>
      </w:r>
      <w:r w:rsidR="00B810A2">
        <w:rPr>
          <w:lang w:val="tr-TR"/>
        </w:rPr>
        <w:t xml:space="preserve"> </w:t>
      </w:r>
      <w:r w:rsidR="004D6451">
        <w:rPr>
          <w:lang w:val="tr-TR"/>
        </w:rPr>
        <w:t>Ar-Ge</w:t>
      </w:r>
      <w:r w:rsidR="00B810A2">
        <w:rPr>
          <w:lang w:val="tr-TR"/>
        </w:rPr>
        <w:t xml:space="preserve"> harcaması</w:t>
      </w:r>
      <w:r w:rsidR="004D6451">
        <w:rPr>
          <w:lang w:val="tr-TR"/>
        </w:rPr>
        <w:t>, patent başvuru sayısı ve</w:t>
      </w:r>
      <w:r w:rsidR="00BE4AD7">
        <w:rPr>
          <w:lang w:val="tr-TR"/>
        </w:rPr>
        <w:t xml:space="preserve"> </w:t>
      </w:r>
      <w:r w:rsidR="00BE4AD7" w:rsidRPr="00BE4AD7">
        <w:rPr>
          <w:lang w:val="tr-TR"/>
        </w:rPr>
        <w:t>yüksek teknoloji ürünü ihracatı (ABD$)</w:t>
      </w:r>
      <w:r w:rsidR="00BE4AD7">
        <w:rPr>
          <w:lang w:val="tr-TR"/>
        </w:rPr>
        <w:t xml:space="preserve"> </w:t>
      </w:r>
      <w:r w:rsidR="00B46B42">
        <w:rPr>
          <w:lang w:val="tr-TR"/>
        </w:rPr>
        <w:t xml:space="preserve">değişkenleri </w:t>
      </w:r>
      <w:r w:rsidR="00421DAC">
        <w:rPr>
          <w:lang w:val="tr-TR"/>
        </w:rPr>
        <w:t xml:space="preserve">bilim ve teknoloji göstergeleri olarak kullanılmıştır. </w:t>
      </w:r>
      <w:r w:rsidR="00AA7E1D">
        <w:rPr>
          <w:lang w:val="tr-TR"/>
        </w:rPr>
        <w:t xml:space="preserve">Ele alınan değişkenler ülkelerin bilim ve teknolojilerini karşılaştırmak için kullanılan </w:t>
      </w:r>
      <w:r w:rsidR="008909A7">
        <w:rPr>
          <w:lang w:val="tr-TR"/>
        </w:rPr>
        <w:t>Dünya Bankası’nın ve OECD’nin</w:t>
      </w:r>
      <w:r w:rsidR="00B407B6">
        <w:rPr>
          <w:lang w:val="tr-TR"/>
        </w:rPr>
        <w:t xml:space="preserve"> </w:t>
      </w:r>
      <w:r w:rsidR="008909A7">
        <w:rPr>
          <w:lang w:val="tr-TR"/>
        </w:rPr>
        <w:t xml:space="preserve">bilim ve teknoloji </w:t>
      </w:r>
      <w:r w:rsidR="00B407B6">
        <w:rPr>
          <w:lang w:val="tr-TR"/>
        </w:rPr>
        <w:t xml:space="preserve">temel </w:t>
      </w:r>
      <w:r w:rsidR="00192B7D">
        <w:rPr>
          <w:lang w:val="tr-TR"/>
        </w:rPr>
        <w:t>göstergeler</w:t>
      </w:r>
      <w:r w:rsidR="00B407B6">
        <w:rPr>
          <w:lang w:val="tr-TR"/>
        </w:rPr>
        <w:t>i</w:t>
      </w:r>
      <w:r w:rsidR="00192B7D">
        <w:rPr>
          <w:lang w:val="tr-TR"/>
        </w:rPr>
        <w:t>dir</w:t>
      </w:r>
      <w:r w:rsidR="00372F07">
        <w:rPr>
          <w:lang w:val="tr-TR"/>
        </w:rPr>
        <w:t xml:space="preserve">. </w:t>
      </w:r>
      <w:r w:rsidR="00143656">
        <w:rPr>
          <w:lang w:val="tr-TR"/>
        </w:rPr>
        <w:t>Çalışmada değişkenlere eşit ağırlık (0,25) verilmiştir</w:t>
      </w:r>
      <w:r w:rsidR="001320FB">
        <w:rPr>
          <w:lang w:val="tr-TR"/>
        </w:rPr>
        <w:t xml:space="preserve"> (</w:t>
      </w:r>
      <w:r w:rsidR="001320FB" w:rsidRPr="0033249D">
        <w:rPr>
          <w:rFonts w:eastAsia="Calibri"/>
        </w:rPr>
        <w:t>Rostampour</w:t>
      </w:r>
      <w:r w:rsidR="001320FB">
        <w:rPr>
          <w:rFonts w:eastAsia="Calibri"/>
        </w:rPr>
        <w:t xml:space="preserve">, 2012: 55; </w:t>
      </w:r>
      <w:r w:rsidR="00BE19B8" w:rsidRPr="006318BE">
        <w:rPr>
          <w:rFonts w:eastAsia="Calibri"/>
        </w:rPr>
        <w:t>Bulgurcu</w:t>
      </w:r>
      <w:r w:rsidR="00BE19B8">
        <w:rPr>
          <w:rFonts w:eastAsia="Calibri"/>
        </w:rPr>
        <w:t xml:space="preserve">, 2012: 1036; </w:t>
      </w:r>
      <w:r w:rsidR="001320FB" w:rsidRPr="00DF12CB">
        <w:rPr>
          <w:rFonts w:eastAsia="Calibri"/>
        </w:rPr>
        <w:t>Wanke</w:t>
      </w:r>
      <w:r w:rsidR="001320FB">
        <w:rPr>
          <w:rFonts w:eastAsia="Calibri"/>
        </w:rPr>
        <w:t xml:space="preserve"> vd., 2015: 113</w:t>
      </w:r>
      <w:r w:rsidR="00C575FB">
        <w:rPr>
          <w:rFonts w:eastAsia="Calibri"/>
        </w:rPr>
        <w:t xml:space="preserve">; Murat vd., 2015: </w:t>
      </w:r>
      <w:r w:rsidR="00BB10D9">
        <w:rPr>
          <w:rFonts w:eastAsia="Calibri"/>
        </w:rPr>
        <w:t>733</w:t>
      </w:r>
      <w:r w:rsidR="001320FB">
        <w:rPr>
          <w:rFonts w:eastAsia="Calibri"/>
        </w:rPr>
        <w:t>)</w:t>
      </w:r>
      <w:r w:rsidR="001320FB">
        <w:t>.</w:t>
      </w:r>
      <w:r w:rsidR="001320FB">
        <w:rPr>
          <w:lang w:val="tr-TR"/>
        </w:rPr>
        <w:t xml:space="preserve"> </w:t>
      </w:r>
      <w:r w:rsidR="00024EC9">
        <w:rPr>
          <w:lang w:val="tr-TR"/>
        </w:rPr>
        <w:t xml:space="preserve">Çalışmanın verileri Dünya Bankası ve OECD veri tabanlarından sağlanmıştır. </w:t>
      </w:r>
    </w:p>
    <w:p w:rsidR="00784767" w:rsidRDefault="00784767" w:rsidP="00FB1395">
      <w:pPr>
        <w:pStyle w:val="P1"/>
        <w:rPr>
          <w:b/>
          <w:bCs/>
          <w:lang w:val="tr-TR"/>
        </w:rPr>
      </w:pPr>
      <w:r>
        <w:rPr>
          <w:b/>
          <w:bCs/>
          <w:lang w:val="tr-TR"/>
        </w:rPr>
        <w:t xml:space="preserve">4. </w:t>
      </w:r>
      <w:r w:rsidR="00FB1395">
        <w:rPr>
          <w:b/>
          <w:bCs/>
          <w:lang w:val="tr-TR"/>
        </w:rPr>
        <w:t>BULGULAR</w:t>
      </w:r>
    </w:p>
    <w:p w:rsidR="008C3695" w:rsidRDefault="005648AC" w:rsidP="00FB1395">
      <w:pPr>
        <w:spacing w:before="120" w:after="120"/>
        <w:rPr>
          <w:lang w:val="tr-TR"/>
        </w:rPr>
      </w:pPr>
      <w:r>
        <w:rPr>
          <w:lang w:val="tr-TR"/>
        </w:rPr>
        <w:t>İncelenen kriterler d</w:t>
      </w:r>
      <w:r w:rsidR="006A76EB">
        <w:rPr>
          <w:lang w:val="tr-TR"/>
        </w:rPr>
        <w:t>enklem 3 ve 4 kullanılarak normalize edili</w:t>
      </w:r>
      <w:r w:rsidR="008C3201">
        <w:rPr>
          <w:lang w:val="tr-TR"/>
        </w:rPr>
        <w:t xml:space="preserve">r. Normalize karar matrisi </w:t>
      </w:r>
      <w:r w:rsidR="003222D7">
        <w:rPr>
          <w:lang w:val="tr-TR"/>
        </w:rPr>
        <w:t>Ç</w:t>
      </w:r>
      <w:r w:rsidR="008C3201">
        <w:rPr>
          <w:lang w:val="tr-TR"/>
        </w:rPr>
        <w:t>izelge</w:t>
      </w:r>
      <w:r w:rsidR="006A76EB">
        <w:rPr>
          <w:lang w:val="tr-TR"/>
        </w:rPr>
        <w:t xml:space="preserve"> 1’de görülmektedir.</w:t>
      </w:r>
    </w:p>
    <w:p w:rsidR="0066327F" w:rsidRDefault="0066327F" w:rsidP="00FB1395">
      <w:pPr>
        <w:spacing w:before="120" w:after="120"/>
        <w:rPr>
          <w:lang w:val="tr-TR"/>
        </w:rPr>
      </w:pPr>
    </w:p>
    <w:p w:rsidR="0066327F" w:rsidRDefault="0066327F" w:rsidP="00FB1395">
      <w:pPr>
        <w:spacing w:before="120" w:after="120"/>
        <w:rPr>
          <w:lang w:val="tr-TR"/>
        </w:rPr>
      </w:pPr>
    </w:p>
    <w:p w:rsidR="0066327F" w:rsidRDefault="0066327F" w:rsidP="00FB1395">
      <w:pPr>
        <w:spacing w:before="120" w:after="120"/>
        <w:rPr>
          <w:lang w:val="tr-TR"/>
        </w:rPr>
      </w:pPr>
    </w:p>
    <w:p w:rsidR="006A76EB" w:rsidRDefault="008C3201" w:rsidP="006A76EB">
      <w:pPr>
        <w:pStyle w:val="GvdeMetni"/>
        <w:spacing w:before="120"/>
        <w:jc w:val="center"/>
        <w:rPr>
          <w:b/>
          <w:lang w:val="tr-TR"/>
        </w:rPr>
      </w:pPr>
      <w:r>
        <w:rPr>
          <w:b/>
          <w:lang w:val="tr-TR"/>
        </w:rPr>
        <w:t>Çizelge</w:t>
      </w:r>
      <w:r w:rsidR="006A76EB">
        <w:rPr>
          <w:b/>
          <w:lang w:val="tr-TR"/>
        </w:rPr>
        <w:t xml:space="preserve"> 1</w:t>
      </w:r>
      <w:r w:rsidR="000B1F5D">
        <w:rPr>
          <w:b/>
          <w:lang w:val="tr-TR"/>
        </w:rPr>
        <w:t>. Normalize Karar Matrisi</w:t>
      </w:r>
    </w:p>
    <w:tbl>
      <w:tblPr>
        <w:tblW w:w="0" w:type="auto"/>
        <w:jc w:val="center"/>
        <w:tblLayout w:type="fixed"/>
        <w:tblCellMar>
          <w:left w:w="70" w:type="dxa"/>
          <w:right w:w="70" w:type="dxa"/>
        </w:tblCellMar>
        <w:tblLook w:val="04A0" w:firstRow="1" w:lastRow="0" w:firstColumn="1" w:lastColumn="0" w:noHBand="0" w:noVBand="1"/>
      </w:tblPr>
      <w:tblGrid>
        <w:gridCol w:w="1812"/>
        <w:gridCol w:w="1813"/>
        <w:gridCol w:w="1812"/>
        <w:gridCol w:w="1813"/>
        <w:gridCol w:w="1813"/>
      </w:tblGrid>
      <w:tr w:rsidR="00E47EBB" w:rsidRPr="00E47EBB" w:rsidTr="00D527F7">
        <w:trPr>
          <w:trHeight w:val="2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EBB" w:rsidRPr="00E47EBB" w:rsidRDefault="00E47EBB" w:rsidP="00D527F7">
            <w:pPr>
              <w:overflowPunct/>
              <w:autoSpaceDE/>
              <w:autoSpaceDN/>
              <w:adjustRightInd/>
              <w:jc w:val="center"/>
              <w:textAlignment w:val="auto"/>
              <w:rPr>
                <w:b/>
                <w:bCs/>
                <w:color w:val="000000"/>
                <w:sz w:val="20"/>
                <w:szCs w:val="20"/>
                <w:lang w:val="tr-TR" w:eastAsia="tr-TR"/>
              </w:rPr>
            </w:pPr>
            <w:r w:rsidRPr="00E47EBB">
              <w:rPr>
                <w:b/>
                <w:bCs/>
                <w:color w:val="000000"/>
                <w:sz w:val="20"/>
                <w:szCs w:val="20"/>
                <w:lang w:val="tr-TR" w:eastAsia="tr-TR"/>
              </w:rPr>
              <w:t>Ülkeler</w:t>
            </w:r>
          </w:p>
        </w:tc>
        <w:tc>
          <w:tcPr>
            <w:tcW w:w="1813" w:type="dxa"/>
            <w:tcBorders>
              <w:top w:val="single" w:sz="4" w:space="0" w:color="auto"/>
              <w:left w:val="nil"/>
              <w:bottom w:val="single" w:sz="4" w:space="0" w:color="auto"/>
              <w:right w:val="single" w:sz="4" w:space="0" w:color="auto"/>
            </w:tcBorders>
            <w:shd w:val="clear" w:color="auto" w:fill="auto"/>
            <w:noWrap/>
            <w:vAlign w:val="center"/>
            <w:hideMark/>
          </w:tcPr>
          <w:p w:rsidR="00E47EBB" w:rsidRPr="00E47EBB" w:rsidRDefault="00E47EBB" w:rsidP="00D527F7">
            <w:pPr>
              <w:overflowPunct/>
              <w:autoSpaceDE/>
              <w:autoSpaceDN/>
              <w:adjustRightInd/>
              <w:jc w:val="center"/>
              <w:textAlignment w:val="auto"/>
              <w:rPr>
                <w:b/>
                <w:bCs/>
                <w:color w:val="000000"/>
                <w:sz w:val="20"/>
                <w:szCs w:val="20"/>
                <w:lang w:val="tr-TR" w:eastAsia="tr-TR"/>
              </w:rPr>
            </w:pPr>
            <w:r w:rsidRPr="00E47EBB">
              <w:rPr>
                <w:b/>
                <w:bCs/>
                <w:color w:val="000000"/>
                <w:sz w:val="20"/>
                <w:szCs w:val="20"/>
                <w:lang w:val="tr-TR" w:eastAsia="tr-TR"/>
              </w:rPr>
              <w:t>Patent</w:t>
            </w:r>
            <w:r w:rsidR="00C4796A">
              <w:rPr>
                <w:b/>
                <w:bCs/>
                <w:color w:val="000000"/>
                <w:sz w:val="20"/>
                <w:szCs w:val="20"/>
                <w:lang w:val="tr-TR" w:eastAsia="tr-TR"/>
              </w:rPr>
              <w:t xml:space="preserve"> Sayısı</w:t>
            </w:r>
          </w:p>
        </w:tc>
        <w:tc>
          <w:tcPr>
            <w:tcW w:w="1812" w:type="dxa"/>
            <w:tcBorders>
              <w:top w:val="single" w:sz="4" w:space="0" w:color="auto"/>
              <w:left w:val="nil"/>
              <w:bottom w:val="single" w:sz="4" w:space="0" w:color="auto"/>
              <w:right w:val="single" w:sz="4" w:space="0" w:color="auto"/>
            </w:tcBorders>
            <w:shd w:val="clear" w:color="auto" w:fill="auto"/>
            <w:noWrap/>
            <w:vAlign w:val="center"/>
            <w:hideMark/>
          </w:tcPr>
          <w:p w:rsidR="00E47EBB" w:rsidRPr="00E47EBB" w:rsidRDefault="00E47EBB" w:rsidP="00D527F7">
            <w:pPr>
              <w:overflowPunct/>
              <w:autoSpaceDE/>
              <w:autoSpaceDN/>
              <w:adjustRightInd/>
              <w:jc w:val="center"/>
              <w:textAlignment w:val="auto"/>
              <w:rPr>
                <w:b/>
                <w:bCs/>
                <w:color w:val="000000"/>
                <w:sz w:val="20"/>
                <w:szCs w:val="20"/>
                <w:lang w:val="tr-TR" w:eastAsia="tr-TR"/>
              </w:rPr>
            </w:pPr>
            <w:r w:rsidRPr="00E47EBB">
              <w:rPr>
                <w:b/>
                <w:bCs/>
                <w:color w:val="000000"/>
                <w:sz w:val="20"/>
                <w:szCs w:val="20"/>
                <w:lang w:val="tr-TR" w:eastAsia="tr-TR"/>
              </w:rPr>
              <w:t>Araştırmacı</w:t>
            </w:r>
            <w:r w:rsidR="00C4796A">
              <w:rPr>
                <w:b/>
                <w:bCs/>
                <w:color w:val="000000"/>
                <w:sz w:val="20"/>
                <w:szCs w:val="20"/>
                <w:lang w:val="tr-TR" w:eastAsia="tr-TR"/>
              </w:rPr>
              <w:t xml:space="preserve"> Sayısı</w:t>
            </w:r>
          </w:p>
        </w:tc>
        <w:tc>
          <w:tcPr>
            <w:tcW w:w="1813" w:type="dxa"/>
            <w:tcBorders>
              <w:top w:val="single" w:sz="4" w:space="0" w:color="auto"/>
              <w:left w:val="nil"/>
              <w:bottom w:val="single" w:sz="4" w:space="0" w:color="auto"/>
              <w:right w:val="single" w:sz="4" w:space="0" w:color="auto"/>
            </w:tcBorders>
            <w:shd w:val="clear" w:color="auto" w:fill="auto"/>
            <w:noWrap/>
            <w:vAlign w:val="center"/>
            <w:hideMark/>
          </w:tcPr>
          <w:p w:rsidR="00E47EBB" w:rsidRPr="00E47EBB" w:rsidRDefault="00E47EBB" w:rsidP="00D527F7">
            <w:pPr>
              <w:overflowPunct/>
              <w:autoSpaceDE/>
              <w:autoSpaceDN/>
              <w:adjustRightInd/>
              <w:jc w:val="center"/>
              <w:textAlignment w:val="auto"/>
              <w:rPr>
                <w:b/>
                <w:bCs/>
                <w:color w:val="000000"/>
                <w:sz w:val="20"/>
                <w:szCs w:val="20"/>
                <w:lang w:val="tr-TR" w:eastAsia="tr-TR"/>
              </w:rPr>
            </w:pPr>
            <w:r w:rsidRPr="00E47EBB">
              <w:rPr>
                <w:b/>
                <w:bCs/>
                <w:color w:val="000000"/>
                <w:sz w:val="20"/>
                <w:szCs w:val="20"/>
                <w:lang w:val="tr-TR" w:eastAsia="tr-TR"/>
              </w:rPr>
              <w:t>Ar-Ge Harcamaları</w:t>
            </w:r>
            <w:r w:rsidR="00C4796A">
              <w:rPr>
                <w:b/>
                <w:bCs/>
                <w:color w:val="000000"/>
                <w:sz w:val="20"/>
                <w:szCs w:val="20"/>
                <w:lang w:val="tr-TR" w:eastAsia="tr-TR"/>
              </w:rPr>
              <w:t xml:space="preserve"> (</w:t>
            </w:r>
            <w:r w:rsidR="002C508A" w:rsidRPr="007741F3">
              <w:rPr>
                <w:b/>
                <w:bCs/>
                <w:color w:val="000000"/>
                <w:sz w:val="20"/>
                <w:szCs w:val="20"/>
                <w:lang w:val="tr-TR" w:eastAsia="tr-TR"/>
              </w:rPr>
              <w:t>GSYH’nin</w:t>
            </w:r>
            <w:r w:rsidR="007741F3">
              <w:rPr>
                <w:b/>
                <w:bCs/>
                <w:color w:val="000000"/>
                <w:sz w:val="20"/>
                <w:szCs w:val="20"/>
                <w:lang w:val="tr-TR" w:eastAsia="tr-TR"/>
              </w:rPr>
              <w:t xml:space="preserve"> </w:t>
            </w:r>
            <w:r w:rsidR="00C4796A">
              <w:rPr>
                <w:b/>
                <w:bCs/>
                <w:color w:val="000000"/>
                <w:sz w:val="20"/>
                <w:szCs w:val="20"/>
                <w:lang w:val="tr-TR" w:eastAsia="tr-TR"/>
              </w:rPr>
              <w:t>%)</w:t>
            </w:r>
          </w:p>
        </w:tc>
        <w:tc>
          <w:tcPr>
            <w:tcW w:w="1813" w:type="dxa"/>
            <w:tcBorders>
              <w:top w:val="single" w:sz="4" w:space="0" w:color="auto"/>
              <w:left w:val="nil"/>
              <w:bottom w:val="single" w:sz="4" w:space="0" w:color="auto"/>
              <w:right w:val="single" w:sz="4" w:space="0" w:color="auto"/>
            </w:tcBorders>
            <w:shd w:val="clear" w:color="auto" w:fill="auto"/>
            <w:noWrap/>
            <w:vAlign w:val="center"/>
            <w:hideMark/>
          </w:tcPr>
          <w:p w:rsidR="00E47EBB" w:rsidRPr="00E47EBB" w:rsidRDefault="00E47EBB" w:rsidP="00D527F7">
            <w:pPr>
              <w:overflowPunct/>
              <w:autoSpaceDE/>
              <w:autoSpaceDN/>
              <w:adjustRightInd/>
              <w:jc w:val="center"/>
              <w:textAlignment w:val="auto"/>
              <w:rPr>
                <w:b/>
                <w:bCs/>
                <w:color w:val="000000"/>
                <w:sz w:val="20"/>
                <w:szCs w:val="20"/>
                <w:lang w:val="tr-TR" w:eastAsia="tr-TR"/>
              </w:rPr>
            </w:pPr>
            <w:r w:rsidRPr="00E47EBB">
              <w:rPr>
                <w:b/>
                <w:bCs/>
                <w:color w:val="000000"/>
                <w:sz w:val="20"/>
                <w:szCs w:val="20"/>
                <w:lang w:val="tr-TR" w:eastAsia="tr-TR"/>
              </w:rPr>
              <w:t xml:space="preserve">Yüksek Teknoloji </w:t>
            </w:r>
            <w:r w:rsidR="00DD5F7A">
              <w:rPr>
                <w:b/>
                <w:bCs/>
                <w:color w:val="000000"/>
                <w:sz w:val="20"/>
                <w:szCs w:val="20"/>
                <w:lang w:val="tr-TR" w:eastAsia="tr-TR"/>
              </w:rPr>
              <w:t xml:space="preserve">Ürünü </w:t>
            </w:r>
            <w:r w:rsidR="00C4796A">
              <w:rPr>
                <w:b/>
                <w:bCs/>
                <w:color w:val="000000"/>
                <w:sz w:val="20"/>
                <w:szCs w:val="20"/>
                <w:lang w:val="tr-TR" w:eastAsia="tr-TR"/>
              </w:rPr>
              <w:t xml:space="preserve">İhracatı </w:t>
            </w:r>
            <w:r w:rsidR="00C4796A" w:rsidRPr="007741F3">
              <w:rPr>
                <w:b/>
                <w:bCs/>
                <w:color w:val="000000"/>
                <w:sz w:val="20"/>
                <w:szCs w:val="20"/>
                <w:lang w:val="tr-TR" w:eastAsia="tr-TR"/>
              </w:rPr>
              <w:t>(ABD$)</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Avusturya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0,0156</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0,0476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0,0670</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0,0238</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Belçika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0,0067</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0,0468</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0,0536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0,0580</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Hırvatistan</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0,0012</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0,0144</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0,0186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0,0011</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B202FC">
            <w:pPr>
              <w:overflowPunct/>
              <w:autoSpaceDE/>
              <w:autoSpaceDN/>
              <w:adjustRightInd/>
              <w:jc w:val="center"/>
              <w:textAlignment w:val="auto"/>
              <w:rPr>
                <w:sz w:val="20"/>
                <w:szCs w:val="20"/>
                <w:lang w:val="tr-TR" w:eastAsia="tr-TR"/>
              </w:rPr>
            </w:pPr>
            <w:r w:rsidRPr="00E47EBB">
              <w:rPr>
                <w:sz w:val="20"/>
                <w:szCs w:val="20"/>
                <w:lang w:val="tr-TR" w:eastAsia="tr-TR"/>
              </w:rPr>
              <w:t>Çek</w:t>
            </w:r>
            <w:r w:rsidR="00B202FC">
              <w:rPr>
                <w:sz w:val="20"/>
                <w:szCs w:val="20"/>
                <w:lang w:val="tr-TR" w:eastAsia="tr-TR"/>
              </w:rPr>
              <w:t>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0,0062</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0,0347</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0,0425</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0,0310</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Danimarka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0,0104</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0,0719</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0,0658</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0,0140</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Estonya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0,0002</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0,0306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0,0326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0,0016</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Finlandiya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0,0091</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0,0655</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0,0634</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0,0054</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Almanya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0,3362</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0,0426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0,0628</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0,2769</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Yunanistan</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0,0039</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0,0308</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0,0209</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0,0017</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Macaristan</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0,0040</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0,0247</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0,0301</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0,0176</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İzlanda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0,0003</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0,0567</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0,0483</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0,0002</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Letonya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0,0010</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0,0176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0,0136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0,0015</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Litvanya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0,0007</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0,0271</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0,0227</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0,0027</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Lüksemburg</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0,0009</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0,0486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0,0281</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0,0010</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Hollanda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0,0157</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0,0437</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0,0439</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0,0882</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Norveç</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0,0082</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0,0568</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0,0422</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0,0069</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Polonya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0,0332</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0,0206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0,0219</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0,0201</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Portekiz</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0,0066</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0,0367</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0,0279</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0,0028</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Romanya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0,0069</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0,0086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0,0106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0,0053</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Sırbistan</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0,0013</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0,0199</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0,0189</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0,0004</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Slovakya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0,0016</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0,0255</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0,0257</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0,0103</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İspanya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0,0199</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0,0255</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0,0266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0,0212</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İsveç</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0,0145</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0,0675</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0,0712</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0,0223</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Türkiye</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0,0380</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0,0110</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0,0192</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0,0035</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Ukrayna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0,0161</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0,0097</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0,0135</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0,0021</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sz w:val="20"/>
                <w:szCs w:val="20"/>
                <w:lang w:val="tr-TR" w:eastAsia="tr-TR"/>
              </w:rPr>
            </w:pPr>
            <w:r w:rsidRPr="00E47EBB">
              <w:rPr>
                <w:sz w:val="20"/>
                <w:szCs w:val="20"/>
                <w:lang w:val="tr-TR" w:eastAsia="tr-TR"/>
              </w:rPr>
              <w:t>Birleşik Krallık</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0,1055</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0,0430</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0,0372</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0,1036</w:t>
            </w:r>
          </w:p>
        </w:tc>
      </w:tr>
      <w:tr w:rsidR="00E47EBB" w:rsidRPr="00E47EBB" w:rsidTr="00D527F7">
        <w:trPr>
          <w:trHeight w:val="2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b/>
                <w:color w:val="000000"/>
                <w:sz w:val="20"/>
                <w:szCs w:val="20"/>
                <w:lang w:val="tr-TR" w:eastAsia="tr-TR"/>
              </w:rPr>
            </w:pPr>
            <w:r w:rsidRPr="00E47EBB">
              <w:rPr>
                <w:b/>
                <w:color w:val="000000"/>
                <w:sz w:val="20"/>
                <w:szCs w:val="20"/>
                <w:lang w:val="tr-TR" w:eastAsia="tr-TR"/>
              </w:rPr>
              <w:t>X</w:t>
            </w:r>
            <w:r w:rsidRPr="00E47EBB">
              <w:rPr>
                <w:b/>
                <w:color w:val="000000"/>
                <w:sz w:val="20"/>
                <w:szCs w:val="20"/>
                <w:vertAlign w:val="subscript"/>
                <w:lang w:val="tr-TR" w:eastAsia="tr-TR"/>
              </w:rPr>
              <w:t>0</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b/>
                <w:color w:val="000000"/>
                <w:sz w:val="20"/>
                <w:szCs w:val="20"/>
                <w:lang w:val="tr-TR" w:eastAsia="tr-TR"/>
              </w:rPr>
            </w:pPr>
            <w:r w:rsidRPr="00E47EBB">
              <w:rPr>
                <w:b/>
                <w:color w:val="000000"/>
                <w:sz w:val="20"/>
                <w:szCs w:val="20"/>
                <w:lang w:val="tr-TR" w:eastAsia="tr-TR"/>
              </w:rPr>
              <w:t>0,3362</w:t>
            </w:r>
          </w:p>
        </w:tc>
        <w:tc>
          <w:tcPr>
            <w:tcW w:w="1812"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b/>
                <w:color w:val="000000"/>
                <w:sz w:val="20"/>
                <w:szCs w:val="20"/>
                <w:lang w:val="tr-TR" w:eastAsia="tr-TR"/>
              </w:rPr>
            </w:pPr>
            <w:r w:rsidRPr="00E47EBB">
              <w:rPr>
                <w:b/>
                <w:color w:val="000000"/>
                <w:sz w:val="20"/>
                <w:szCs w:val="20"/>
                <w:lang w:val="tr-TR" w:eastAsia="tr-TR"/>
              </w:rPr>
              <w:t>0,0719</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b/>
                <w:color w:val="000000"/>
                <w:sz w:val="20"/>
                <w:szCs w:val="20"/>
                <w:lang w:val="tr-TR" w:eastAsia="tr-TR"/>
              </w:rPr>
            </w:pPr>
            <w:r w:rsidRPr="00E47EBB">
              <w:rPr>
                <w:b/>
                <w:color w:val="000000"/>
                <w:sz w:val="20"/>
                <w:szCs w:val="20"/>
                <w:lang w:val="tr-TR" w:eastAsia="tr-TR"/>
              </w:rPr>
              <w:t>0,0712</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D527F7">
            <w:pPr>
              <w:overflowPunct/>
              <w:autoSpaceDE/>
              <w:autoSpaceDN/>
              <w:adjustRightInd/>
              <w:jc w:val="center"/>
              <w:textAlignment w:val="auto"/>
              <w:rPr>
                <w:b/>
                <w:color w:val="000000"/>
                <w:sz w:val="20"/>
                <w:szCs w:val="20"/>
                <w:lang w:val="tr-TR" w:eastAsia="tr-TR"/>
              </w:rPr>
            </w:pPr>
            <w:r w:rsidRPr="00E47EBB">
              <w:rPr>
                <w:b/>
                <w:color w:val="000000"/>
                <w:sz w:val="20"/>
                <w:szCs w:val="20"/>
                <w:lang w:val="tr-TR" w:eastAsia="tr-TR"/>
              </w:rPr>
              <w:t>0,2769</w:t>
            </w:r>
          </w:p>
        </w:tc>
      </w:tr>
    </w:tbl>
    <w:p w:rsidR="006A76EB" w:rsidRDefault="00120C19" w:rsidP="0066327F">
      <w:pPr>
        <w:spacing w:before="120" w:after="120"/>
        <w:rPr>
          <w:lang w:val="tr-TR"/>
        </w:rPr>
      </w:pPr>
      <w:r>
        <w:rPr>
          <w:lang w:val="tr-TR"/>
        </w:rPr>
        <w:t>K</w:t>
      </w:r>
      <w:r w:rsidRPr="000B3E7F">
        <w:rPr>
          <w:lang w:val="tr-TR"/>
        </w:rPr>
        <w:t>riterlerin normalleştirilmiş ağırlıklı değerleri</w:t>
      </w:r>
      <w:r>
        <w:rPr>
          <w:lang w:val="tr-TR"/>
        </w:rPr>
        <w:t xml:space="preserve"> denklem 7 ile hesaplanarak</w:t>
      </w:r>
      <w:r w:rsidR="00073C35">
        <w:rPr>
          <w:lang w:val="tr-TR"/>
        </w:rPr>
        <w:t>,</w:t>
      </w:r>
      <w:r>
        <w:rPr>
          <w:lang w:val="tr-TR"/>
        </w:rPr>
        <w:t xml:space="preserve"> </w:t>
      </w:r>
      <w:r w:rsidR="00AE58CA">
        <w:rPr>
          <w:lang w:val="tr-TR"/>
        </w:rPr>
        <w:t xml:space="preserve">elde edilen ağırlıklı normalize karar matrisi </w:t>
      </w:r>
      <w:r w:rsidR="003222D7">
        <w:rPr>
          <w:lang w:val="tr-TR"/>
        </w:rPr>
        <w:t>Çizelge</w:t>
      </w:r>
      <w:r>
        <w:rPr>
          <w:lang w:val="tr-TR"/>
        </w:rPr>
        <w:t xml:space="preserve"> 2’de yer almaktadır.</w:t>
      </w:r>
    </w:p>
    <w:p w:rsidR="00120C19" w:rsidRDefault="003222D7" w:rsidP="00120C19">
      <w:pPr>
        <w:pStyle w:val="GvdeMetni"/>
        <w:spacing w:before="120"/>
        <w:jc w:val="center"/>
        <w:rPr>
          <w:b/>
          <w:lang w:val="tr-TR"/>
        </w:rPr>
      </w:pPr>
      <w:r>
        <w:rPr>
          <w:b/>
          <w:lang w:val="tr-TR"/>
        </w:rPr>
        <w:t>Çizelge</w:t>
      </w:r>
      <w:r w:rsidR="00120C19">
        <w:rPr>
          <w:b/>
          <w:lang w:val="tr-TR"/>
        </w:rPr>
        <w:t xml:space="preserve"> 2. </w:t>
      </w:r>
      <w:r w:rsidR="00120C19" w:rsidRPr="00120C19">
        <w:rPr>
          <w:b/>
          <w:lang w:val="tr-TR"/>
        </w:rPr>
        <w:t xml:space="preserve">Ağırlıklı Normalize Karar Matrisi </w:t>
      </w:r>
      <w:r w:rsidR="00120C19">
        <w:rPr>
          <w:b/>
          <w:lang w:val="tr-TR"/>
        </w:rPr>
        <w:t xml:space="preserve"> </w:t>
      </w:r>
    </w:p>
    <w:tbl>
      <w:tblPr>
        <w:tblW w:w="9067" w:type="dxa"/>
        <w:tblLayout w:type="fixed"/>
        <w:tblCellMar>
          <w:left w:w="70" w:type="dxa"/>
          <w:right w:w="70" w:type="dxa"/>
        </w:tblCellMar>
        <w:tblLook w:val="04A0" w:firstRow="1" w:lastRow="0" w:firstColumn="1" w:lastColumn="0" w:noHBand="0" w:noVBand="1"/>
      </w:tblPr>
      <w:tblGrid>
        <w:gridCol w:w="1813"/>
        <w:gridCol w:w="1813"/>
        <w:gridCol w:w="1814"/>
        <w:gridCol w:w="1813"/>
        <w:gridCol w:w="1814"/>
      </w:tblGrid>
      <w:tr w:rsidR="007741F3" w:rsidRPr="00E47EBB" w:rsidTr="00D527F7">
        <w:trPr>
          <w:trHeight w:val="20"/>
        </w:trPr>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1F3" w:rsidRPr="00E47EBB" w:rsidRDefault="007741F3" w:rsidP="0030186A">
            <w:pPr>
              <w:overflowPunct/>
              <w:autoSpaceDE/>
              <w:autoSpaceDN/>
              <w:adjustRightInd/>
              <w:jc w:val="center"/>
              <w:textAlignment w:val="auto"/>
              <w:rPr>
                <w:b/>
                <w:bCs/>
                <w:color w:val="000000"/>
                <w:sz w:val="20"/>
                <w:szCs w:val="20"/>
                <w:lang w:val="tr-TR" w:eastAsia="tr-TR"/>
              </w:rPr>
            </w:pPr>
            <w:r w:rsidRPr="00E47EBB">
              <w:rPr>
                <w:b/>
                <w:bCs/>
                <w:color w:val="000000"/>
                <w:sz w:val="20"/>
                <w:szCs w:val="20"/>
                <w:lang w:val="tr-TR" w:eastAsia="tr-TR"/>
              </w:rPr>
              <w:t>Ülkeler</w:t>
            </w:r>
          </w:p>
        </w:tc>
        <w:tc>
          <w:tcPr>
            <w:tcW w:w="1813" w:type="dxa"/>
            <w:tcBorders>
              <w:top w:val="single" w:sz="4" w:space="0" w:color="auto"/>
              <w:left w:val="nil"/>
              <w:bottom w:val="single" w:sz="4" w:space="0" w:color="auto"/>
              <w:right w:val="single" w:sz="4" w:space="0" w:color="auto"/>
            </w:tcBorders>
            <w:shd w:val="clear" w:color="auto" w:fill="auto"/>
            <w:noWrap/>
            <w:vAlign w:val="center"/>
            <w:hideMark/>
          </w:tcPr>
          <w:p w:rsidR="007741F3" w:rsidRPr="00E47EBB" w:rsidRDefault="007741F3" w:rsidP="0030186A">
            <w:pPr>
              <w:overflowPunct/>
              <w:autoSpaceDE/>
              <w:autoSpaceDN/>
              <w:adjustRightInd/>
              <w:jc w:val="center"/>
              <w:textAlignment w:val="auto"/>
              <w:rPr>
                <w:b/>
                <w:bCs/>
                <w:color w:val="000000"/>
                <w:sz w:val="20"/>
                <w:szCs w:val="20"/>
                <w:lang w:val="tr-TR" w:eastAsia="tr-TR"/>
              </w:rPr>
            </w:pPr>
            <w:r w:rsidRPr="00E47EBB">
              <w:rPr>
                <w:b/>
                <w:bCs/>
                <w:color w:val="000000"/>
                <w:sz w:val="20"/>
                <w:szCs w:val="20"/>
                <w:lang w:val="tr-TR" w:eastAsia="tr-TR"/>
              </w:rPr>
              <w:t>Patent</w:t>
            </w:r>
            <w:r>
              <w:rPr>
                <w:b/>
                <w:bCs/>
                <w:color w:val="000000"/>
                <w:sz w:val="20"/>
                <w:szCs w:val="20"/>
                <w:lang w:val="tr-TR" w:eastAsia="tr-TR"/>
              </w:rPr>
              <w:t xml:space="preserve"> Sayısı</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rsidR="007741F3" w:rsidRPr="00E47EBB" w:rsidRDefault="007741F3" w:rsidP="0030186A">
            <w:pPr>
              <w:overflowPunct/>
              <w:autoSpaceDE/>
              <w:autoSpaceDN/>
              <w:adjustRightInd/>
              <w:jc w:val="center"/>
              <w:textAlignment w:val="auto"/>
              <w:rPr>
                <w:b/>
                <w:bCs/>
                <w:color w:val="000000"/>
                <w:sz w:val="20"/>
                <w:szCs w:val="20"/>
                <w:lang w:val="tr-TR" w:eastAsia="tr-TR"/>
              </w:rPr>
            </w:pPr>
            <w:r w:rsidRPr="00E47EBB">
              <w:rPr>
                <w:b/>
                <w:bCs/>
                <w:color w:val="000000"/>
                <w:sz w:val="20"/>
                <w:szCs w:val="20"/>
                <w:lang w:val="tr-TR" w:eastAsia="tr-TR"/>
              </w:rPr>
              <w:t>Araştırmacı</w:t>
            </w:r>
            <w:r>
              <w:rPr>
                <w:b/>
                <w:bCs/>
                <w:color w:val="000000"/>
                <w:sz w:val="20"/>
                <w:szCs w:val="20"/>
                <w:lang w:val="tr-TR" w:eastAsia="tr-TR"/>
              </w:rPr>
              <w:t xml:space="preserve"> Sayısı</w:t>
            </w:r>
          </w:p>
        </w:tc>
        <w:tc>
          <w:tcPr>
            <w:tcW w:w="1813" w:type="dxa"/>
            <w:tcBorders>
              <w:top w:val="single" w:sz="4" w:space="0" w:color="auto"/>
              <w:left w:val="nil"/>
              <w:bottom w:val="single" w:sz="4" w:space="0" w:color="auto"/>
              <w:right w:val="single" w:sz="4" w:space="0" w:color="auto"/>
            </w:tcBorders>
            <w:shd w:val="clear" w:color="auto" w:fill="auto"/>
            <w:noWrap/>
            <w:vAlign w:val="center"/>
            <w:hideMark/>
          </w:tcPr>
          <w:p w:rsidR="007741F3" w:rsidRPr="00E47EBB" w:rsidRDefault="007741F3" w:rsidP="0030186A">
            <w:pPr>
              <w:overflowPunct/>
              <w:autoSpaceDE/>
              <w:autoSpaceDN/>
              <w:adjustRightInd/>
              <w:jc w:val="center"/>
              <w:textAlignment w:val="auto"/>
              <w:rPr>
                <w:b/>
                <w:bCs/>
                <w:color w:val="000000"/>
                <w:sz w:val="20"/>
                <w:szCs w:val="20"/>
                <w:lang w:val="tr-TR" w:eastAsia="tr-TR"/>
              </w:rPr>
            </w:pPr>
            <w:r w:rsidRPr="00E47EBB">
              <w:rPr>
                <w:b/>
                <w:bCs/>
                <w:color w:val="000000"/>
                <w:sz w:val="20"/>
                <w:szCs w:val="20"/>
                <w:lang w:val="tr-TR" w:eastAsia="tr-TR"/>
              </w:rPr>
              <w:t>Ar-Ge Harcamaları</w:t>
            </w:r>
            <w:r>
              <w:rPr>
                <w:b/>
                <w:bCs/>
                <w:color w:val="000000"/>
                <w:sz w:val="20"/>
                <w:szCs w:val="20"/>
                <w:lang w:val="tr-TR" w:eastAsia="tr-TR"/>
              </w:rPr>
              <w:t xml:space="preserve"> (</w:t>
            </w:r>
            <w:r w:rsidR="0066327F" w:rsidRPr="007741F3">
              <w:rPr>
                <w:b/>
                <w:bCs/>
                <w:color w:val="000000"/>
                <w:sz w:val="20"/>
                <w:szCs w:val="20"/>
                <w:lang w:val="tr-TR" w:eastAsia="tr-TR"/>
              </w:rPr>
              <w:t>GSYH’nin</w:t>
            </w:r>
            <w:r>
              <w:rPr>
                <w:b/>
                <w:bCs/>
                <w:color w:val="000000"/>
                <w:sz w:val="20"/>
                <w:szCs w:val="20"/>
                <w:lang w:val="tr-TR" w:eastAsia="tr-TR"/>
              </w:rPr>
              <w:t xml:space="preserve"> %)</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rsidR="007741F3" w:rsidRPr="00E47EBB" w:rsidRDefault="007741F3" w:rsidP="0030186A">
            <w:pPr>
              <w:overflowPunct/>
              <w:autoSpaceDE/>
              <w:autoSpaceDN/>
              <w:adjustRightInd/>
              <w:jc w:val="center"/>
              <w:textAlignment w:val="auto"/>
              <w:rPr>
                <w:b/>
                <w:bCs/>
                <w:color w:val="000000"/>
                <w:sz w:val="20"/>
                <w:szCs w:val="20"/>
                <w:lang w:val="tr-TR" w:eastAsia="tr-TR"/>
              </w:rPr>
            </w:pPr>
            <w:r w:rsidRPr="00E47EBB">
              <w:rPr>
                <w:b/>
                <w:bCs/>
                <w:color w:val="000000"/>
                <w:sz w:val="20"/>
                <w:szCs w:val="20"/>
                <w:lang w:val="tr-TR" w:eastAsia="tr-TR"/>
              </w:rPr>
              <w:t xml:space="preserve">Yüksek Teknoloji </w:t>
            </w:r>
            <w:r w:rsidR="00DD5F7A">
              <w:rPr>
                <w:b/>
                <w:bCs/>
                <w:color w:val="000000"/>
                <w:sz w:val="20"/>
                <w:szCs w:val="20"/>
                <w:lang w:val="tr-TR" w:eastAsia="tr-TR"/>
              </w:rPr>
              <w:t xml:space="preserve">Ürünü </w:t>
            </w:r>
            <w:r>
              <w:rPr>
                <w:b/>
                <w:bCs/>
                <w:color w:val="000000"/>
                <w:sz w:val="20"/>
                <w:szCs w:val="20"/>
                <w:lang w:val="tr-TR" w:eastAsia="tr-TR"/>
              </w:rPr>
              <w:t xml:space="preserve">İhracatı </w:t>
            </w:r>
            <w:r w:rsidRPr="007741F3">
              <w:rPr>
                <w:b/>
                <w:bCs/>
                <w:color w:val="000000"/>
                <w:sz w:val="20"/>
                <w:szCs w:val="20"/>
                <w:lang w:val="tr-TR" w:eastAsia="tr-TR"/>
              </w:rPr>
              <w:t>(ABD$)</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Avusturya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0,0039</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0,0119</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0,0168</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0,0059</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Belçika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0,0017</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0,0117</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0,0134</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0,0145</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Hırvatistan</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0,0003</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0,0036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0,0047</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0,0003</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DA5A8D">
            <w:pPr>
              <w:overflowPunct/>
              <w:autoSpaceDE/>
              <w:autoSpaceDN/>
              <w:adjustRightInd/>
              <w:jc w:val="center"/>
              <w:textAlignment w:val="auto"/>
              <w:rPr>
                <w:sz w:val="20"/>
                <w:szCs w:val="20"/>
                <w:lang w:val="tr-TR" w:eastAsia="tr-TR"/>
              </w:rPr>
            </w:pPr>
            <w:r w:rsidRPr="00E47EBB">
              <w:rPr>
                <w:sz w:val="20"/>
                <w:szCs w:val="20"/>
                <w:lang w:val="tr-TR" w:eastAsia="tr-TR"/>
              </w:rPr>
              <w:t>Çek</w:t>
            </w:r>
            <w:r w:rsidR="00DA5A8D">
              <w:rPr>
                <w:sz w:val="20"/>
                <w:szCs w:val="20"/>
                <w:lang w:val="tr-TR" w:eastAsia="tr-TR"/>
              </w:rPr>
              <w:t>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0,0016</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0,0087</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0,0106</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0,0078</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Danimarka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0,0026</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0,0180</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0,0164</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0,0035</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Estonya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0,0001</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0,0077</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0,0082</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0,0004</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Finlandiya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0,0023</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0,0164</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0,0158</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0,0014</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Almanya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0,0840</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0,0106</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0,0157</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0,0692</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Yunanistan</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0,0010</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0,0077</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0,0052</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0,0004</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Macaristan</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0,0010</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0,0062</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0,0075</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0,0044</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İzlanda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0,0001</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0,0142</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0,0121</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0,0000</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Letonya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0,0002</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0,0044</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0,0034</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0,0004</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Litvanya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0,0002</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0,0068</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0,0057</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0,0007</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Lüksemburg</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0,0002</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0,0121</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0,0070</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0,0003</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lastRenderedPageBreak/>
              <w:t>Hollanda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0,0039</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0,0109</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0,0110</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0,0221</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Norveç</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0,0020</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0,0142</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0,0105</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0,0017</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Polonya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0,0083</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0,0051</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0,0055</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0,0050</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Portekiz</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0,0016</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0,0092</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0,0070</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0,0007</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Romanya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0,0017</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0,0021</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0,0027</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0,0013</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Sırbistan</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0,0003</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0,0050</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0,0047</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0,0001</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Slovakya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0,0004</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0,0064</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0,0064</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0,0026</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İspanya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0,0050</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0,0064</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0,0067</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0,0053</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İsveç</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0,0036</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0,0169</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0,0178</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0,0056</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Türkiye</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0,0095</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0,0027</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0,0048</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0,0009</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Ukrayna</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0,0040</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0,0024</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0,0034</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0,0005</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sz w:val="20"/>
                <w:szCs w:val="20"/>
                <w:lang w:val="tr-TR" w:eastAsia="tr-TR"/>
              </w:rPr>
            </w:pPr>
            <w:r w:rsidRPr="00E47EBB">
              <w:rPr>
                <w:sz w:val="20"/>
                <w:szCs w:val="20"/>
                <w:lang w:val="tr-TR" w:eastAsia="tr-TR"/>
              </w:rPr>
              <w:t>Birleşik Krallık</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0,0264</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0,0107</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0,0093</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color w:val="000000"/>
                <w:sz w:val="20"/>
                <w:szCs w:val="20"/>
                <w:lang w:val="tr-TR" w:eastAsia="tr-TR"/>
              </w:rPr>
            </w:pPr>
            <w:r w:rsidRPr="00E47EBB">
              <w:rPr>
                <w:color w:val="000000"/>
                <w:sz w:val="20"/>
                <w:szCs w:val="20"/>
                <w:lang w:val="tr-TR" w:eastAsia="tr-TR"/>
              </w:rPr>
              <w:t>0,0259</w:t>
            </w:r>
          </w:p>
        </w:tc>
      </w:tr>
      <w:tr w:rsidR="00E47EBB" w:rsidRPr="00E47EBB" w:rsidTr="00D527F7">
        <w:trPr>
          <w:trHeight w:val="2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rsidR="00E47EBB" w:rsidRPr="00E47EBB" w:rsidRDefault="00E47EBB" w:rsidP="0030186A">
            <w:pPr>
              <w:overflowPunct/>
              <w:autoSpaceDE/>
              <w:autoSpaceDN/>
              <w:adjustRightInd/>
              <w:jc w:val="center"/>
              <w:textAlignment w:val="auto"/>
              <w:rPr>
                <w:b/>
                <w:color w:val="000000"/>
                <w:sz w:val="20"/>
                <w:szCs w:val="20"/>
                <w:lang w:val="tr-TR" w:eastAsia="tr-TR"/>
              </w:rPr>
            </w:pPr>
            <w:r w:rsidRPr="00E47EBB">
              <w:rPr>
                <w:b/>
                <w:color w:val="000000"/>
                <w:sz w:val="20"/>
                <w:szCs w:val="20"/>
                <w:lang w:val="tr-TR" w:eastAsia="tr-TR"/>
              </w:rPr>
              <w:t>X</w:t>
            </w:r>
            <w:r w:rsidRPr="00E47EBB">
              <w:rPr>
                <w:b/>
                <w:color w:val="000000"/>
                <w:sz w:val="20"/>
                <w:szCs w:val="20"/>
                <w:vertAlign w:val="subscript"/>
                <w:lang w:val="tr-TR" w:eastAsia="tr-TR"/>
              </w:rPr>
              <w:t>0</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b/>
                <w:color w:val="000000"/>
                <w:sz w:val="20"/>
                <w:szCs w:val="20"/>
                <w:lang w:val="tr-TR" w:eastAsia="tr-TR"/>
              </w:rPr>
            </w:pPr>
            <w:r w:rsidRPr="00E47EBB">
              <w:rPr>
                <w:b/>
                <w:color w:val="000000"/>
                <w:sz w:val="20"/>
                <w:szCs w:val="20"/>
                <w:lang w:val="tr-TR" w:eastAsia="tr-TR"/>
              </w:rPr>
              <w:t>0,0840</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b/>
                <w:color w:val="000000"/>
                <w:sz w:val="20"/>
                <w:szCs w:val="20"/>
                <w:lang w:val="tr-TR" w:eastAsia="tr-TR"/>
              </w:rPr>
            </w:pPr>
            <w:r w:rsidRPr="00E47EBB">
              <w:rPr>
                <w:b/>
                <w:color w:val="000000"/>
                <w:sz w:val="20"/>
                <w:szCs w:val="20"/>
                <w:lang w:val="tr-TR" w:eastAsia="tr-TR"/>
              </w:rPr>
              <w:t>0,0180</w:t>
            </w:r>
          </w:p>
        </w:tc>
        <w:tc>
          <w:tcPr>
            <w:tcW w:w="1813"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b/>
                <w:color w:val="000000"/>
                <w:sz w:val="20"/>
                <w:szCs w:val="20"/>
                <w:lang w:val="tr-TR" w:eastAsia="tr-TR"/>
              </w:rPr>
            </w:pPr>
            <w:r w:rsidRPr="00E47EBB">
              <w:rPr>
                <w:b/>
                <w:color w:val="000000"/>
                <w:sz w:val="20"/>
                <w:szCs w:val="20"/>
                <w:lang w:val="tr-TR" w:eastAsia="tr-TR"/>
              </w:rPr>
              <w:t>0,0178</w:t>
            </w:r>
          </w:p>
        </w:tc>
        <w:tc>
          <w:tcPr>
            <w:tcW w:w="1814" w:type="dxa"/>
            <w:tcBorders>
              <w:top w:val="nil"/>
              <w:left w:val="nil"/>
              <w:bottom w:val="single" w:sz="4" w:space="0" w:color="auto"/>
              <w:right w:val="single" w:sz="4" w:space="0" w:color="auto"/>
            </w:tcBorders>
            <w:shd w:val="clear" w:color="auto" w:fill="auto"/>
            <w:noWrap/>
            <w:vAlign w:val="bottom"/>
            <w:hideMark/>
          </w:tcPr>
          <w:p w:rsidR="00E47EBB" w:rsidRPr="00E47EBB" w:rsidRDefault="00E47EBB" w:rsidP="00A04761">
            <w:pPr>
              <w:overflowPunct/>
              <w:autoSpaceDE/>
              <w:autoSpaceDN/>
              <w:adjustRightInd/>
              <w:jc w:val="center"/>
              <w:textAlignment w:val="auto"/>
              <w:rPr>
                <w:b/>
                <w:color w:val="000000"/>
                <w:sz w:val="20"/>
                <w:szCs w:val="20"/>
                <w:lang w:val="tr-TR" w:eastAsia="tr-TR"/>
              </w:rPr>
            </w:pPr>
            <w:r w:rsidRPr="00E47EBB">
              <w:rPr>
                <w:b/>
                <w:color w:val="000000"/>
                <w:sz w:val="20"/>
                <w:szCs w:val="20"/>
                <w:lang w:val="tr-TR" w:eastAsia="tr-TR"/>
              </w:rPr>
              <w:t>0,0692</w:t>
            </w:r>
          </w:p>
        </w:tc>
      </w:tr>
    </w:tbl>
    <w:p w:rsidR="007029C9" w:rsidRDefault="009B2C58" w:rsidP="00C00207">
      <w:pPr>
        <w:spacing w:before="120" w:after="120"/>
        <w:rPr>
          <w:lang w:val="tr-TR"/>
        </w:rPr>
      </w:pPr>
      <w:r>
        <w:rPr>
          <w:lang w:val="tr-TR"/>
        </w:rPr>
        <w:t>ARAS Y</w:t>
      </w:r>
      <w:r w:rsidR="00A74899">
        <w:rPr>
          <w:lang w:val="tr-TR"/>
        </w:rPr>
        <w:t xml:space="preserve">öntemi kullanılarak yapılan analiz neticesinde </w:t>
      </w:r>
      <w:r w:rsidR="00AF6DCB">
        <w:rPr>
          <w:lang w:val="tr-TR"/>
        </w:rPr>
        <w:t xml:space="preserve">2015 yılı için </w:t>
      </w:r>
      <w:r w:rsidR="00143656">
        <w:rPr>
          <w:lang w:val="tr-TR"/>
        </w:rPr>
        <w:t xml:space="preserve">26 Avrupa ülkesinin </w:t>
      </w:r>
      <w:r w:rsidR="003C439A">
        <w:rPr>
          <w:lang w:val="tr-TR"/>
        </w:rPr>
        <w:t xml:space="preserve">performanslarının </w:t>
      </w:r>
      <w:r w:rsidR="005752ED">
        <w:rPr>
          <w:lang w:val="tr-TR"/>
        </w:rPr>
        <w:t>K</w:t>
      </w:r>
      <w:r w:rsidR="005752ED" w:rsidRPr="005752ED">
        <w:rPr>
          <w:vertAlign w:val="subscript"/>
          <w:lang w:val="tr-TR"/>
        </w:rPr>
        <w:t>i</w:t>
      </w:r>
      <w:r w:rsidR="005752ED">
        <w:rPr>
          <w:lang w:val="tr-TR"/>
        </w:rPr>
        <w:t xml:space="preserve"> değerlerine göre </w:t>
      </w:r>
      <w:r w:rsidR="00344354">
        <w:rPr>
          <w:lang w:val="tr-TR"/>
        </w:rPr>
        <w:t xml:space="preserve">sıralaması, bilim ve teknoloji göstergeleriyle ilgili </w:t>
      </w:r>
      <w:r w:rsidR="005752ED">
        <w:rPr>
          <w:lang w:val="tr-TR"/>
        </w:rPr>
        <w:t xml:space="preserve">endekslere ait </w:t>
      </w:r>
      <w:r w:rsidR="007E655C">
        <w:rPr>
          <w:lang w:val="tr-TR"/>
        </w:rPr>
        <w:t xml:space="preserve">ülke </w:t>
      </w:r>
      <w:r w:rsidR="005752ED">
        <w:rPr>
          <w:lang w:val="tr-TR"/>
        </w:rPr>
        <w:t>sıralamalar</w:t>
      </w:r>
      <w:r w:rsidR="007E655C">
        <w:rPr>
          <w:lang w:val="tr-TR"/>
        </w:rPr>
        <w:t>ı</w:t>
      </w:r>
      <w:r w:rsidR="005752ED">
        <w:rPr>
          <w:lang w:val="tr-TR"/>
        </w:rPr>
        <w:t xml:space="preserve"> </w:t>
      </w:r>
      <w:r w:rsidR="00C773B4">
        <w:rPr>
          <w:lang w:val="tr-TR"/>
        </w:rPr>
        <w:t>Çizelge</w:t>
      </w:r>
      <w:r w:rsidR="008C3695">
        <w:rPr>
          <w:lang w:val="tr-TR"/>
        </w:rPr>
        <w:t xml:space="preserve"> 3’t</w:t>
      </w:r>
      <w:r w:rsidR="00143656">
        <w:rPr>
          <w:lang w:val="tr-TR"/>
        </w:rPr>
        <w:t>e verilmiştir.</w:t>
      </w:r>
      <w:r w:rsidR="00A9183C">
        <w:rPr>
          <w:lang w:val="tr-TR"/>
        </w:rPr>
        <w:t xml:space="preserve"> Endekslere ait skorlar</w:t>
      </w:r>
      <w:r w:rsidR="00632E5B">
        <w:rPr>
          <w:lang w:val="tr-TR"/>
        </w:rPr>
        <w:t xml:space="preserve"> TÜİK ve </w:t>
      </w:r>
      <w:r w:rsidR="00A9183C" w:rsidRPr="009C2674">
        <w:rPr>
          <w:lang w:val="tr-TR"/>
        </w:rPr>
        <w:t>Global Innovation Index</w:t>
      </w:r>
      <w:r w:rsidR="00A9183C">
        <w:rPr>
          <w:lang w:val="tr-TR"/>
        </w:rPr>
        <w:t xml:space="preserve"> </w:t>
      </w:r>
      <w:r w:rsidR="00632E5B">
        <w:rPr>
          <w:lang w:val="tr-TR"/>
        </w:rPr>
        <w:t>veri tabanlarından sağlanmıştır.</w:t>
      </w:r>
    </w:p>
    <w:p w:rsidR="004D3BA0" w:rsidRPr="00F84567" w:rsidRDefault="00C773B4" w:rsidP="004D3BA0">
      <w:pPr>
        <w:pStyle w:val="GvdeMetni"/>
        <w:spacing w:before="120"/>
        <w:jc w:val="center"/>
        <w:rPr>
          <w:b/>
          <w:lang w:val="tr-TR"/>
        </w:rPr>
      </w:pPr>
      <w:r>
        <w:rPr>
          <w:b/>
          <w:lang w:val="tr-TR"/>
        </w:rPr>
        <w:t>Çizelge</w:t>
      </w:r>
      <w:r w:rsidR="006A76EB">
        <w:rPr>
          <w:b/>
          <w:lang w:val="tr-TR"/>
        </w:rPr>
        <w:t xml:space="preserve"> 3</w:t>
      </w:r>
      <w:r w:rsidR="004D3BA0">
        <w:rPr>
          <w:b/>
          <w:lang w:val="tr-TR"/>
        </w:rPr>
        <w:t xml:space="preserve">. </w:t>
      </w:r>
      <w:r w:rsidR="00552C6F">
        <w:rPr>
          <w:b/>
          <w:lang w:val="tr-TR"/>
        </w:rPr>
        <w:t>Ülke Sıralamaları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1327"/>
        <w:gridCol w:w="1327"/>
        <w:gridCol w:w="1327"/>
        <w:gridCol w:w="1327"/>
        <w:gridCol w:w="1326"/>
        <w:gridCol w:w="1326"/>
      </w:tblGrid>
      <w:tr w:rsidR="00234168" w:rsidRPr="00972BB3" w:rsidTr="00234168">
        <w:trPr>
          <w:trHeight w:val="20"/>
          <w:jc w:val="center"/>
        </w:trPr>
        <w:tc>
          <w:tcPr>
            <w:tcW w:w="715" w:type="pct"/>
            <w:vAlign w:val="center"/>
          </w:tcPr>
          <w:p w:rsidR="00234168" w:rsidRPr="00972BB3" w:rsidRDefault="00234168" w:rsidP="00CA7F32">
            <w:pPr>
              <w:spacing w:before="120" w:after="120"/>
              <w:jc w:val="center"/>
              <w:rPr>
                <w:b/>
                <w:sz w:val="20"/>
                <w:szCs w:val="20"/>
              </w:rPr>
            </w:pPr>
            <w:r w:rsidRPr="00972BB3">
              <w:rPr>
                <w:b/>
                <w:sz w:val="20"/>
                <w:szCs w:val="20"/>
              </w:rPr>
              <w:t>Ülkeler</w:t>
            </w:r>
          </w:p>
        </w:tc>
        <w:tc>
          <w:tcPr>
            <w:tcW w:w="714" w:type="pct"/>
            <w:vAlign w:val="center"/>
          </w:tcPr>
          <w:p w:rsidR="00234168" w:rsidRPr="00972BB3" w:rsidRDefault="00234168" w:rsidP="00CA7F32">
            <w:pPr>
              <w:spacing w:before="120" w:after="120"/>
              <w:jc w:val="center"/>
              <w:rPr>
                <w:b/>
                <w:sz w:val="20"/>
                <w:szCs w:val="20"/>
              </w:rPr>
            </w:pPr>
            <w:r w:rsidRPr="00972BB3">
              <w:rPr>
                <w:b/>
                <w:sz w:val="20"/>
                <w:szCs w:val="20"/>
              </w:rPr>
              <w:t>K</w:t>
            </w:r>
            <w:r w:rsidRPr="00972BB3">
              <w:rPr>
                <w:b/>
                <w:sz w:val="20"/>
                <w:szCs w:val="20"/>
                <w:vertAlign w:val="subscript"/>
              </w:rPr>
              <w:t>i</w:t>
            </w:r>
          </w:p>
        </w:tc>
        <w:tc>
          <w:tcPr>
            <w:tcW w:w="714" w:type="pct"/>
          </w:tcPr>
          <w:p w:rsidR="00234168" w:rsidRDefault="00234168" w:rsidP="00234168">
            <w:pPr>
              <w:spacing w:before="120" w:after="120"/>
              <w:jc w:val="center"/>
              <w:rPr>
                <w:b/>
                <w:sz w:val="20"/>
                <w:szCs w:val="20"/>
              </w:rPr>
            </w:pPr>
            <w:r w:rsidRPr="00234168">
              <w:rPr>
                <w:b/>
                <w:sz w:val="20"/>
                <w:szCs w:val="20"/>
              </w:rPr>
              <w:t>K</w:t>
            </w:r>
            <w:r w:rsidRPr="00234168">
              <w:rPr>
                <w:b/>
                <w:sz w:val="20"/>
                <w:szCs w:val="20"/>
                <w:vertAlign w:val="subscript"/>
              </w:rPr>
              <w:t>i</w:t>
            </w:r>
            <w:r>
              <w:rPr>
                <w:b/>
                <w:sz w:val="20"/>
                <w:szCs w:val="20"/>
              </w:rPr>
              <w:t xml:space="preserve"> D</w:t>
            </w:r>
            <w:r w:rsidRPr="00234168">
              <w:rPr>
                <w:b/>
                <w:sz w:val="20"/>
                <w:szCs w:val="20"/>
              </w:rPr>
              <w:t xml:space="preserve">eğerleri </w:t>
            </w:r>
            <w:r>
              <w:rPr>
                <w:b/>
                <w:sz w:val="20"/>
                <w:szCs w:val="20"/>
              </w:rPr>
              <w:t>S</w:t>
            </w:r>
            <w:r w:rsidRPr="00234168">
              <w:rPr>
                <w:b/>
                <w:sz w:val="20"/>
                <w:szCs w:val="20"/>
              </w:rPr>
              <w:t>ıralaması</w:t>
            </w:r>
          </w:p>
        </w:tc>
        <w:tc>
          <w:tcPr>
            <w:tcW w:w="714" w:type="pct"/>
          </w:tcPr>
          <w:p w:rsidR="00234168" w:rsidRPr="00972BB3" w:rsidRDefault="00234168" w:rsidP="00457A8E">
            <w:pPr>
              <w:spacing w:before="120" w:after="120"/>
              <w:jc w:val="center"/>
              <w:rPr>
                <w:b/>
                <w:sz w:val="20"/>
                <w:szCs w:val="20"/>
              </w:rPr>
            </w:pPr>
            <w:r>
              <w:rPr>
                <w:b/>
                <w:sz w:val="20"/>
                <w:szCs w:val="20"/>
              </w:rPr>
              <w:t>Küresel İnovasyon Endeksi Skorları</w:t>
            </w:r>
          </w:p>
        </w:tc>
        <w:tc>
          <w:tcPr>
            <w:tcW w:w="714" w:type="pct"/>
          </w:tcPr>
          <w:p w:rsidR="00234168" w:rsidRDefault="00234168" w:rsidP="00457A8E">
            <w:pPr>
              <w:spacing w:before="120" w:after="120"/>
              <w:jc w:val="center"/>
              <w:rPr>
                <w:b/>
                <w:sz w:val="20"/>
                <w:szCs w:val="20"/>
              </w:rPr>
            </w:pPr>
            <w:r>
              <w:rPr>
                <w:b/>
                <w:sz w:val="20"/>
                <w:szCs w:val="20"/>
              </w:rPr>
              <w:t>Küresel İnovasyon Endeksi Sıralaması</w:t>
            </w:r>
          </w:p>
        </w:tc>
        <w:tc>
          <w:tcPr>
            <w:tcW w:w="714" w:type="pct"/>
          </w:tcPr>
          <w:p w:rsidR="00234168" w:rsidRDefault="00234168" w:rsidP="00457A8E">
            <w:pPr>
              <w:spacing w:before="120" w:after="120"/>
              <w:jc w:val="center"/>
              <w:rPr>
                <w:b/>
                <w:sz w:val="20"/>
                <w:szCs w:val="20"/>
              </w:rPr>
            </w:pPr>
            <w:r>
              <w:rPr>
                <w:b/>
                <w:sz w:val="20"/>
                <w:szCs w:val="20"/>
              </w:rPr>
              <w:t>Özet İnovasyon Endeksi Skorları</w:t>
            </w:r>
          </w:p>
        </w:tc>
        <w:tc>
          <w:tcPr>
            <w:tcW w:w="714" w:type="pct"/>
          </w:tcPr>
          <w:p w:rsidR="00234168" w:rsidRDefault="00234168" w:rsidP="00457A8E">
            <w:pPr>
              <w:spacing w:before="120" w:after="120"/>
              <w:jc w:val="center"/>
              <w:rPr>
                <w:b/>
                <w:sz w:val="20"/>
                <w:szCs w:val="20"/>
              </w:rPr>
            </w:pPr>
            <w:r>
              <w:rPr>
                <w:b/>
                <w:sz w:val="20"/>
                <w:szCs w:val="20"/>
              </w:rPr>
              <w:t>Özet İnovasyon Endeksi Sıralaması</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Almanya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0,9501</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1</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57,05</w:t>
            </w:r>
          </w:p>
        </w:tc>
        <w:tc>
          <w:tcPr>
            <w:tcW w:w="714" w:type="pct"/>
          </w:tcPr>
          <w:p w:rsidR="00234168" w:rsidRPr="00667647" w:rsidRDefault="00216D87" w:rsidP="00667647">
            <w:pPr>
              <w:overflowPunct/>
              <w:autoSpaceDE/>
              <w:autoSpaceDN/>
              <w:adjustRightInd/>
              <w:jc w:val="center"/>
              <w:textAlignment w:val="auto"/>
              <w:rPr>
                <w:sz w:val="20"/>
                <w:szCs w:val="20"/>
                <w:lang w:val="tr-TR" w:eastAsia="tr-TR"/>
              </w:rPr>
            </w:pPr>
            <w:r>
              <w:rPr>
                <w:sz w:val="20"/>
                <w:szCs w:val="20"/>
                <w:lang w:val="tr-TR" w:eastAsia="tr-TR"/>
              </w:rPr>
              <w:t>7</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0,617</w:t>
            </w:r>
          </w:p>
        </w:tc>
        <w:tc>
          <w:tcPr>
            <w:tcW w:w="714" w:type="pct"/>
          </w:tcPr>
          <w:p w:rsidR="00234168" w:rsidRPr="00667647" w:rsidRDefault="00DC3906" w:rsidP="00667647">
            <w:pPr>
              <w:overflowPunct/>
              <w:autoSpaceDE/>
              <w:autoSpaceDN/>
              <w:adjustRightInd/>
              <w:jc w:val="center"/>
              <w:textAlignment w:val="auto"/>
              <w:rPr>
                <w:sz w:val="20"/>
                <w:szCs w:val="20"/>
                <w:lang w:val="tr-TR" w:eastAsia="tr-TR"/>
              </w:rPr>
            </w:pPr>
            <w:r>
              <w:rPr>
                <w:sz w:val="20"/>
                <w:szCs w:val="20"/>
                <w:lang w:val="tr-TR" w:eastAsia="tr-TR"/>
              </w:rPr>
              <w:t>5</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Birleşik Krallık</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0,3824</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2</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62,42</w:t>
            </w:r>
          </w:p>
        </w:tc>
        <w:tc>
          <w:tcPr>
            <w:tcW w:w="714" w:type="pct"/>
          </w:tcPr>
          <w:p w:rsidR="00234168" w:rsidRPr="00667647" w:rsidRDefault="00216D87" w:rsidP="00667647">
            <w:pPr>
              <w:overflowPunct/>
              <w:autoSpaceDE/>
              <w:autoSpaceDN/>
              <w:adjustRightInd/>
              <w:jc w:val="center"/>
              <w:textAlignment w:val="auto"/>
              <w:rPr>
                <w:sz w:val="20"/>
                <w:szCs w:val="20"/>
                <w:lang w:val="tr-TR" w:eastAsia="tr-TR"/>
              </w:rPr>
            </w:pPr>
            <w:r>
              <w:rPr>
                <w:sz w:val="20"/>
                <w:szCs w:val="20"/>
                <w:lang w:val="tr-TR" w:eastAsia="tr-TR"/>
              </w:rPr>
              <w:t>1</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0,583</w:t>
            </w:r>
          </w:p>
        </w:tc>
        <w:tc>
          <w:tcPr>
            <w:tcW w:w="714" w:type="pct"/>
          </w:tcPr>
          <w:p w:rsidR="00234168" w:rsidRPr="00667647" w:rsidRDefault="00DC3906" w:rsidP="00667647">
            <w:pPr>
              <w:overflowPunct/>
              <w:autoSpaceDE/>
              <w:autoSpaceDN/>
              <w:adjustRightInd/>
              <w:jc w:val="center"/>
              <w:textAlignment w:val="auto"/>
              <w:rPr>
                <w:sz w:val="20"/>
                <w:szCs w:val="20"/>
                <w:lang w:val="tr-TR" w:eastAsia="tr-TR"/>
              </w:rPr>
            </w:pPr>
            <w:r>
              <w:rPr>
                <w:sz w:val="20"/>
                <w:szCs w:val="20"/>
                <w:lang w:val="tr-TR" w:eastAsia="tr-TR"/>
              </w:rPr>
              <w:t>9</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Hollanda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0,2533</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3</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61,58</w:t>
            </w:r>
          </w:p>
        </w:tc>
        <w:tc>
          <w:tcPr>
            <w:tcW w:w="714" w:type="pct"/>
          </w:tcPr>
          <w:p w:rsidR="00234168" w:rsidRPr="00667647" w:rsidRDefault="00216D87" w:rsidP="00667647">
            <w:pPr>
              <w:overflowPunct/>
              <w:autoSpaceDE/>
              <w:autoSpaceDN/>
              <w:adjustRightInd/>
              <w:jc w:val="center"/>
              <w:textAlignment w:val="auto"/>
              <w:rPr>
                <w:sz w:val="20"/>
                <w:szCs w:val="20"/>
                <w:lang w:val="tr-TR" w:eastAsia="tr-TR"/>
              </w:rPr>
            </w:pPr>
            <w:r>
              <w:rPr>
                <w:sz w:val="20"/>
                <w:szCs w:val="20"/>
                <w:lang w:val="tr-TR" w:eastAsia="tr-TR"/>
              </w:rPr>
              <w:t>3</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0,635</w:t>
            </w:r>
          </w:p>
        </w:tc>
        <w:tc>
          <w:tcPr>
            <w:tcW w:w="714" w:type="pct"/>
          </w:tcPr>
          <w:p w:rsidR="00234168" w:rsidRPr="00667647" w:rsidRDefault="00DC3906" w:rsidP="00667647">
            <w:pPr>
              <w:overflowPunct/>
              <w:autoSpaceDE/>
              <w:autoSpaceDN/>
              <w:adjustRightInd/>
              <w:jc w:val="center"/>
              <w:textAlignment w:val="auto"/>
              <w:rPr>
                <w:sz w:val="20"/>
                <w:szCs w:val="20"/>
                <w:lang w:val="tr-TR" w:eastAsia="tr-TR"/>
              </w:rPr>
            </w:pPr>
            <w:r>
              <w:rPr>
                <w:sz w:val="20"/>
                <w:szCs w:val="20"/>
                <w:lang w:val="tr-TR" w:eastAsia="tr-TR"/>
              </w:rPr>
              <w:t>4</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İsveç</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0,2320</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4</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62,40</w:t>
            </w:r>
          </w:p>
        </w:tc>
        <w:tc>
          <w:tcPr>
            <w:tcW w:w="714" w:type="pct"/>
          </w:tcPr>
          <w:p w:rsidR="00234168" w:rsidRPr="00667647" w:rsidRDefault="00216D87" w:rsidP="00667647">
            <w:pPr>
              <w:overflowPunct/>
              <w:autoSpaceDE/>
              <w:autoSpaceDN/>
              <w:adjustRightInd/>
              <w:jc w:val="center"/>
              <w:textAlignment w:val="auto"/>
              <w:rPr>
                <w:sz w:val="20"/>
                <w:szCs w:val="20"/>
                <w:lang w:val="tr-TR" w:eastAsia="tr-TR"/>
              </w:rPr>
            </w:pPr>
            <w:r>
              <w:rPr>
                <w:sz w:val="20"/>
                <w:szCs w:val="20"/>
                <w:lang w:val="tr-TR" w:eastAsia="tr-TR"/>
              </w:rPr>
              <w:t>2</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0,703</w:t>
            </w:r>
          </w:p>
        </w:tc>
        <w:tc>
          <w:tcPr>
            <w:tcW w:w="714" w:type="pct"/>
          </w:tcPr>
          <w:p w:rsidR="00234168" w:rsidRPr="00667647" w:rsidRDefault="00743E37" w:rsidP="00667647">
            <w:pPr>
              <w:overflowPunct/>
              <w:autoSpaceDE/>
              <w:autoSpaceDN/>
              <w:adjustRightInd/>
              <w:jc w:val="center"/>
              <w:textAlignment w:val="auto"/>
              <w:rPr>
                <w:sz w:val="20"/>
                <w:szCs w:val="20"/>
                <w:lang w:val="tr-TR" w:eastAsia="tr-TR"/>
              </w:rPr>
            </w:pPr>
            <w:r>
              <w:rPr>
                <w:sz w:val="20"/>
                <w:szCs w:val="20"/>
                <w:lang w:val="tr-TR" w:eastAsia="tr-TR"/>
              </w:rPr>
              <w:t>1</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Belçika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0,2184</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5</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50,91</w:t>
            </w:r>
          </w:p>
        </w:tc>
        <w:tc>
          <w:tcPr>
            <w:tcW w:w="714" w:type="pct"/>
          </w:tcPr>
          <w:p w:rsidR="00234168" w:rsidRPr="00667647" w:rsidRDefault="00413F3E" w:rsidP="00667647">
            <w:pPr>
              <w:overflowPunct/>
              <w:autoSpaceDE/>
              <w:autoSpaceDN/>
              <w:adjustRightInd/>
              <w:jc w:val="center"/>
              <w:textAlignment w:val="auto"/>
              <w:rPr>
                <w:sz w:val="20"/>
                <w:szCs w:val="20"/>
                <w:lang w:val="tr-TR" w:eastAsia="tr-TR"/>
              </w:rPr>
            </w:pPr>
            <w:r>
              <w:rPr>
                <w:sz w:val="20"/>
                <w:szCs w:val="20"/>
                <w:lang w:val="tr-TR" w:eastAsia="tr-TR"/>
              </w:rPr>
              <w:t>13</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0,584</w:t>
            </w:r>
          </w:p>
        </w:tc>
        <w:tc>
          <w:tcPr>
            <w:tcW w:w="714" w:type="pct"/>
          </w:tcPr>
          <w:p w:rsidR="00234168" w:rsidRPr="00667647" w:rsidRDefault="00DC3906" w:rsidP="00667647">
            <w:pPr>
              <w:overflowPunct/>
              <w:autoSpaceDE/>
              <w:autoSpaceDN/>
              <w:adjustRightInd/>
              <w:jc w:val="center"/>
              <w:textAlignment w:val="auto"/>
              <w:rPr>
                <w:sz w:val="20"/>
                <w:szCs w:val="20"/>
                <w:lang w:val="tr-TR" w:eastAsia="tr-TR"/>
              </w:rPr>
            </w:pPr>
            <w:r>
              <w:rPr>
                <w:sz w:val="20"/>
                <w:szCs w:val="20"/>
                <w:lang w:val="tr-TR" w:eastAsia="tr-TR"/>
              </w:rPr>
              <w:t>8</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Danimarka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0,2143</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6</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57,70</w:t>
            </w:r>
          </w:p>
        </w:tc>
        <w:tc>
          <w:tcPr>
            <w:tcW w:w="714" w:type="pct"/>
          </w:tcPr>
          <w:p w:rsidR="00234168" w:rsidRPr="00667647" w:rsidRDefault="00216D87" w:rsidP="00667647">
            <w:pPr>
              <w:overflowPunct/>
              <w:autoSpaceDE/>
              <w:autoSpaceDN/>
              <w:adjustRightInd/>
              <w:jc w:val="center"/>
              <w:textAlignment w:val="auto"/>
              <w:rPr>
                <w:sz w:val="20"/>
                <w:szCs w:val="20"/>
                <w:lang w:val="tr-TR" w:eastAsia="tr-TR"/>
              </w:rPr>
            </w:pPr>
            <w:r>
              <w:rPr>
                <w:sz w:val="20"/>
                <w:szCs w:val="20"/>
                <w:lang w:val="tr-TR" w:eastAsia="tr-TR"/>
              </w:rPr>
              <w:t>6</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0,691</w:t>
            </w:r>
          </w:p>
        </w:tc>
        <w:tc>
          <w:tcPr>
            <w:tcW w:w="714" w:type="pct"/>
          </w:tcPr>
          <w:p w:rsidR="00234168" w:rsidRPr="00667647" w:rsidRDefault="00743E37" w:rsidP="00667647">
            <w:pPr>
              <w:overflowPunct/>
              <w:autoSpaceDE/>
              <w:autoSpaceDN/>
              <w:adjustRightInd/>
              <w:jc w:val="center"/>
              <w:textAlignment w:val="auto"/>
              <w:rPr>
                <w:sz w:val="20"/>
                <w:szCs w:val="20"/>
                <w:lang w:val="tr-TR" w:eastAsia="tr-TR"/>
              </w:rPr>
            </w:pPr>
            <w:r>
              <w:rPr>
                <w:sz w:val="20"/>
                <w:szCs w:val="20"/>
                <w:lang w:val="tr-TR" w:eastAsia="tr-TR"/>
              </w:rPr>
              <w:t>2</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Avusturya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0,2037</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7</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54,07</w:t>
            </w:r>
          </w:p>
        </w:tc>
        <w:tc>
          <w:tcPr>
            <w:tcW w:w="714" w:type="pct"/>
          </w:tcPr>
          <w:p w:rsidR="00234168" w:rsidRPr="00667647" w:rsidRDefault="00216D87" w:rsidP="00667647">
            <w:pPr>
              <w:overflowPunct/>
              <w:autoSpaceDE/>
              <w:autoSpaceDN/>
              <w:adjustRightInd/>
              <w:jc w:val="center"/>
              <w:textAlignment w:val="auto"/>
              <w:rPr>
                <w:sz w:val="20"/>
                <w:szCs w:val="20"/>
                <w:lang w:val="tr-TR" w:eastAsia="tr-TR"/>
              </w:rPr>
            </w:pPr>
            <w:r>
              <w:rPr>
                <w:sz w:val="20"/>
                <w:szCs w:val="20"/>
                <w:lang w:val="tr-TR" w:eastAsia="tr-TR"/>
              </w:rPr>
              <w:t>9</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0,566</w:t>
            </w:r>
          </w:p>
        </w:tc>
        <w:tc>
          <w:tcPr>
            <w:tcW w:w="714" w:type="pct"/>
          </w:tcPr>
          <w:p w:rsidR="00234168" w:rsidRPr="00667647" w:rsidRDefault="00DC3906" w:rsidP="00667647">
            <w:pPr>
              <w:overflowPunct/>
              <w:autoSpaceDE/>
              <w:autoSpaceDN/>
              <w:adjustRightInd/>
              <w:jc w:val="center"/>
              <w:textAlignment w:val="auto"/>
              <w:rPr>
                <w:sz w:val="20"/>
                <w:szCs w:val="20"/>
                <w:lang w:val="tr-TR" w:eastAsia="tr-TR"/>
              </w:rPr>
            </w:pPr>
            <w:r>
              <w:rPr>
                <w:sz w:val="20"/>
                <w:szCs w:val="20"/>
                <w:lang w:val="tr-TR" w:eastAsia="tr-TR"/>
              </w:rPr>
              <w:t>10</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Finlandiya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0,1897</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8</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59,97</w:t>
            </w:r>
          </w:p>
        </w:tc>
        <w:tc>
          <w:tcPr>
            <w:tcW w:w="714" w:type="pct"/>
          </w:tcPr>
          <w:p w:rsidR="00234168" w:rsidRPr="00667647" w:rsidRDefault="00216D87" w:rsidP="00667647">
            <w:pPr>
              <w:overflowPunct/>
              <w:autoSpaceDE/>
              <w:autoSpaceDN/>
              <w:adjustRightInd/>
              <w:jc w:val="center"/>
              <w:textAlignment w:val="auto"/>
              <w:rPr>
                <w:sz w:val="20"/>
                <w:szCs w:val="20"/>
                <w:lang w:val="tr-TR" w:eastAsia="tr-TR"/>
              </w:rPr>
            </w:pPr>
            <w:r>
              <w:rPr>
                <w:sz w:val="20"/>
                <w:szCs w:val="20"/>
                <w:lang w:val="tr-TR" w:eastAsia="tr-TR"/>
              </w:rPr>
              <w:t>4</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0,645</w:t>
            </w:r>
          </w:p>
        </w:tc>
        <w:tc>
          <w:tcPr>
            <w:tcW w:w="714" w:type="pct"/>
          </w:tcPr>
          <w:p w:rsidR="00234168" w:rsidRPr="00667647" w:rsidRDefault="00743E37" w:rsidP="00667647">
            <w:pPr>
              <w:overflowPunct/>
              <w:autoSpaceDE/>
              <w:autoSpaceDN/>
              <w:adjustRightInd/>
              <w:jc w:val="center"/>
              <w:textAlignment w:val="auto"/>
              <w:rPr>
                <w:sz w:val="20"/>
                <w:szCs w:val="20"/>
                <w:lang w:val="tr-TR" w:eastAsia="tr-TR"/>
              </w:rPr>
            </w:pPr>
            <w:r>
              <w:rPr>
                <w:sz w:val="20"/>
                <w:szCs w:val="20"/>
                <w:lang w:val="tr-TR" w:eastAsia="tr-TR"/>
              </w:rPr>
              <w:t>3</w:t>
            </w:r>
          </w:p>
        </w:tc>
      </w:tr>
      <w:tr w:rsidR="00234168" w:rsidRPr="00F84567" w:rsidTr="00234168">
        <w:trPr>
          <w:trHeight w:val="20"/>
          <w:jc w:val="center"/>
        </w:trPr>
        <w:tc>
          <w:tcPr>
            <w:tcW w:w="715" w:type="pct"/>
          </w:tcPr>
          <w:p w:rsidR="00234168" w:rsidRPr="00667647" w:rsidRDefault="00C00207" w:rsidP="00C00207">
            <w:pPr>
              <w:overflowPunct/>
              <w:autoSpaceDE/>
              <w:autoSpaceDN/>
              <w:adjustRightInd/>
              <w:jc w:val="center"/>
              <w:textAlignment w:val="auto"/>
              <w:rPr>
                <w:sz w:val="20"/>
                <w:szCs w:val="20"/>
                <w:lang w:val="tr-TR" w:eastAsia="tr-TR"/>
              </w:rPr>
            </w:pPr>
            <w:r>
              <w:rPr>
                <w:sz w:val="20"/>
                <w:szCs w:val="20"/>
                <w:lang w:val="tr-TR" w:eastAsia="tr-TR"/>
              </w:rPr>
              <w:t>Çekya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0,1514</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9</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51,32</w:t>
            </w:r>
          </w:p>
        </w:tc>
        <w:tc>
          <w:tcPr>
            <w:tcW w:w="714" w:type="pct"/>
          </w:tcPr>
          <w:p w:rsidR="00234168" w:rsidRPr="00667647" w:rsidRDefault="00413F3E" w:rsidP="00667647">
            <w:pPr>
              <w:overflowPunct/>
              <w:autoSpaceDE/>
              <w:autoSpaceDN/>
              <w:adjustRightInd/>
              <w:jc w:val="center"/>
              <w:textAlignment w:val="auto"/>
              <w:rPr>
                <w:sz w:val="20"/>
                <w:szCs w:val="20"/>
                <w:lang w:val="tr-TR" w:eastAsia="tr-TR"/>
              </w:rPr>
            </w:pPr>
            <w:r>
              <w:rPr>
                <w:sz w:val="20"/>
                <w:szCs w:val="20"/>
                <w:lang w:val="tr-TR" w:eastAsia="tr-TR"/>
              </w:rPr>
              <w:t>12</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0,421</w:t>
            </w:r>
          </w:p>
        </w:tc>
        <w:tc>
          <w:tcPr>
            <w:tcW w:w="714" w:type="pct"/>
          </w:tcPr>
          <w:p w:rsidR="00234168" w:rsidRPr="00667647" w:rsidRDefault="00843B42" w:rsidP="00667647">
            <w:pPr>
              <w:overflowPunct/>
              <w:autoSpaceDE/>
              <w:autoSpaceDN/>
              <w:adjustRightInd/>
              <w:jc w:val="center"/>
              <w:textAlignment w:val="auto"/>
              <w:rPr>
                <w:sz w:val="20"/>
                <w:szCs w:val="20"/>
                <w:lang w:val="tr-TR" w:eastAsia="tr-TR"/>
              </w:rPr>
            </w:pPr>
            <w:r>
              <w:rPr>
                <w:sz w:val="20"/>
                <w:szCs w:val="20"/>
                <w:lang w:val="tr-TR" w:eastAsia="tr-TR"/>
              </w:rPr>
              <w:t>13</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Norveç</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0,1509</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10</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53,80</w:t>
            </w:r>
          </w:p>
        </w:tc>
        <w:tc>
          <w:tcPr>
            <w:tcW w:w="714" w:type="pct"/>
          </w:tcPr>
          <w:p w:rsidR="00234168" w:rsidRPr="00667647" w:rsidRDefault="00216D87" w:rsidP="00667647">
            <w:pPr>
              <w:overflowPunct/>
              <w:autoSpaceDE/>
              <w:autoSpaceDN/>
              <w:adjustRightInd/>
              <w:jc w:val="center"/>
              <w:textAlignment w:val="auto"/>
              <w:rPr>
                <w:sz w:val="20"/>
                <w:szCs w:val="20"/>
                <w:lang w:val="tr-TR" w:eastAsia="tr-TR"/>
              </w:rPr>
            </w:pPr>
            <w:r>
              <w:rPr>
                <w:sz w:val="20"/>
                <w:szCs w:val="20"/>
                <w:lang w:val="tr-TR" w:eastAsia="tr-TR"/>
              </w:rPr>
              <w:t>10</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0,499</w:t>
            </w:r>
          </w:p>
        </w:tc>
        <w:tc>
          <w:tcPr>
            <w:tcW w:w="714" w:type="pct"/>
          </w:tcPr>
          <w:p w:rsidR="00234168" w:rsidRPr="00667647" w:rsidRDefault="00DC3906" w:rsidP="00667647">
            <w:pPr>
              <w:overflowPunct/>
              <w:autoSpaceDE/>
              <w:autoSpaceDN/>
              <w:adjustRightInd/>
              <w:jc w:val="center"/>
              <w:textAlignment w:val="auto"/>
              <w:rPr>
                <w:sz w:val="20"/>
                <w:szCs w:val="20"/>
                <w:lang w:val="tr-TR" w:eastAsia="tr-TR"/>
              </w:rPr>
            </w:pPr>
            <w:r>
              <w:rPr>
                <w:sz w:val="20"/>
                <w:szCs w:val="20"/>
                <w:lang w:val="tr-TR" w:eastAsia="tr-TR"/>
              </w:rPr>
              <w:t>11</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İzlanda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0,1395</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11</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57,02</w:t>
            </w:r>
          </w:p>
        </w:tc>
        <w:tc>
          <w:tcPr>
            <w:tcW w:w="714" w:type="pct"/>
          </w:tcPr>
          <w:p w:rsidR="00234168" w:rsidRPr="00667647" w:rsidRDefault="00216D87" w:rsidP="00667647">
            <w:pPr>
              <w:overflowPunct/>
              <w:autoSpaceDE/>
              <w:autoSpaceDN/>
              <w:adjustRightInd/>
              <w:jc w:val="center"/>
              <w:textAlignment w:val="auto"/>
              <w:rPr>
                <w:sz w:val="20"/>
                <w:szCs w:val="20"/>
                <w:lang w:val="tr-TR" w:eastAsia="tr-TR"/>
              </w:rPr>
            </w:pPr>
            <w:r>
              <w:rPr>
                <w:sz w:val="20"/>
                <w:szCs w:val="20"/>
                <w:lang w:val="tr-TR" w:eastAsia="tr-TR"/>
              </w:rPr>
              <w:t>8</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0,614</w:t>
            </w:r>
          </w:p>
        </w:tc>
        <w:tc>
          <w:tcPr>
            <w:tcW w:w="714" w:type="pct"/>
          </w:tcPr>
          <w:p w:rsidR="00234168" w:rsidRPr="00667647" w:rsidRDefault="00DC3906" w:rsidP="00667647">
            <w:pPr>
              <w:overflowPunct/>
              <w:autoSpaceDE/>
              <w:autoSpaceDN/>
              <w:adjustRightInd/>
              <w:jc w:val="center"/>
              <w:textAlignment w:val="auto"/>
              <w:rPr>
                <w:sz w:val="20"/>
                <w:szCs w:val="20"/>
                <w:lang w:val="tr-TR" w:eastAsia="tr-TR"/>
              </w:rPr>
            </w:pPr>
            <w:r>
              <w:rPr>
                <w:sz w:val="20"/>
                <w:szCs w:val="20"/>
                <w:lang w:val="tr-TR" w:eastAsia="tr-TR"/>
              </w:rPr>
              <w:t>7</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Polonya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0,1265</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12</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40,16</w:t>
            </w:r>
          </w:p>
        </w:tc>
        <w:tc>
          <w:tcPr>
            <w:tcW w:w="714" w:type="pct"/>
          </w:tcPr>
          <w:p w:rsidR="00234168" w:rsidRPr="00667647" w:rsidRDefault="005C39D1" w:rsidP="00667647">
            <w:pPr>
              <w:overflowPunct/>
              <w:autoSpaceDE/>
              <w:autoSpaceDN/>
              <w:adjustRightInd/>
              <w:jc w:val="center"/>
              <w:textAlignment w:val="auto"/>
              <w:rPr>
                <w:sz w:val="20"/>
                <w:szCs w:val="20"/>
                <w:lang w:val="tr-TR" w:eastAsia="tr-TR"/>
              </w:rPr>
            </w:pPr>
            <w:r>
              <w:rPr>
                <w:sz w:val="20"/>
                <w:szCs w:val="20"/>
                <w:lang w:val="tr-TR" w:eastAsia="tr-TR"/>
              </w:rPr>
              <w:t>22</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0,257</w:t>
            </w:r>
          </w:p>
        </w:tc>
        <w:tc>
          <w:tcPr>
            <w:tcW w:w="714" w:type="pct"/>
          </w:tcPr>
          <w:p w:rsidR="00234168" w:rsidRPr="00667647" w:rsidRDefault="00AC0CAB" w:rsidP="00667647">
            <w:pPr>
              <w:overflowPunct/>
              <w:autoSpaceDE/>
              <w:autoSpaceDN/>
              <w:adjustRightInd/>
              <w:jc w:val="center"/>
              <w:textAlignment w:val="auto"/>
              <w:rPr>
                <w:sz w:val="20"/>
                <w:szCs w:val="20"/>
                <w:lang w:val="tr-TR" w:eastAsia="tr-TR"/>
              </w:rPr>
            </w:pPr>
            <w:r>
              <w:rPr>
                <w:sz w:val="20"/>
                <w:szCs w:val="20"/>
                <w:lang w:val="tr-TR" w:eastAsia="tr-TR"/>
              </w:rPr>
              <w:t>24</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İspanya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0,1233</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13</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49,07</w:t>
            </w:r>
          </w:p>
        </w:tc>
        <w:tc>
          <w:tcPr>
            <w:tcW w:w="714" w:type="pct"/>
          </w:tcPr>
          <w:p w:rsidR="00234168" w:rsidRPr="00667647" w:rsidRDefault="00413F3E" w:rsidP="00667647">
            <w:pPr>
              <w:overflowPunct/>
              <w:autoSpaceDE/>
              <w:autoSpaceDN/>
              <w:adjustRightInd/>
              <w:jc w:val="center"/>
              <w:textAlignment w:val="auto"/>
              <w:rPr>
                <w:sz w:val="20"/>
                <w:szCs w:val="20"/>
                <w:lang w:val="tr-TR" w:eastAsia="tr-TR"/>
              </w:rPr>
            </w:pPr>
            <w:r>
              <w:rPr>
                <w:sz w:val="20"/>
                <w:szCs w:val="20"/>
                <w:lang w:val="tr-TR" w:eastAsia="tr-TR"/>
              </w:rPr>
              <w:t>14</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0,367</w:t>
            </w:r>
          </w:p>
        </w:tc>
        <w:tc>
          <w:tcPr>
            <w:tcW w:w="714" w:type="pct"/>
          </w:tcPr>
          <w:p w:rsidR="00234168" w:rsidRPr="00667647" w:rsidRDefault="00843B42" w:rsidP="00667647">
            <w:pPr>
              <w:overflowPunct/>
              <w:autoSpaceDE/>
              <w:autoSpaceDN/>
              <w:adjustRightInd/>
              <w:jc w:val="center"/>
              <w:textAlignment w:val="auto"/>
              <w:rPr>
                <w:sz w:val="20"/>
                <w:szCs w:val="20"/>
                <w:lang w:val="tr-TR" w:eastAsia="tr-TR"/>
              </w:rPr>
            </w:pPr>
            <w:r>
              <w:rPr>
                <w:sz w:val="20"/>
                <w:szCs w:val="20"/>
                <w:lang w:val="tr-TR" w:eastAsia="tr-TR"/>
              </w:rPr>
              <w:t>15</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Lüksemburg</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0,1040</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14</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59,02</w:t>
            </w:r>
          </w:p>
        </w:tc>
        <w:tc>
          <w:tcPr>
            <w:tcW w:w="714" w:type="pct"/>
          </w:tcPr>
          <w:p w:rsidR="00234168" w:rsidRPr="00667647" w:rsidRDefault="00216D87" w:rsidP="00667647">
            <w:pPr>
              <w:overflowPunct/>
              <w:autoSpaceDE/>
              <w:autoSpaceDN/>
              <w:adjustRightInd/>
              <w:jc w:val="center"/>
              <w:textAlignment w:val="auto"/>
              <w:rPr>
                <w:sz w:val="20"/>
                <w:szCs w:val="20"/>
                <w:lang w:val="tr-TR" w:eastAsia="tr-TR"/>
              </w:rPr>
            </w:pPr>
            <w:r>
              <w:rPr>
                <w:sz w:val="20"/>
                <w:szCs w:val="20"/>
                <w:lang w:val="tr-TR" w:eastAsia="tr-TR"/>
              </w:rPr>
              <w:t>5</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0,616</w:t>
            </w:r>
          </w:p>
        </w:tc>
        <w:tc>
          <w:tcPr>
            <w:tcW w:w="714" w:type="pct"/>
          </w:tcPr>
          <w:p w:rsidR="00234168" w:rsidRPr="00667647" w:rsidRDefault="00DC3906" w:rsidP="00667647">
            <w:pPr>
              <w:overflowPunct/>
              <w:autoSpaceDE/>
              <w:autoSpaceDN/>
              <w:adjustRightInd/>
              <w:jc w:val="center"/>
              <w:textAlignment w:val="auto"/>
              <w:rPr>
                <w:sz w:val="20"/>
                <w:szCs w:val="20"/>
                <w:lang w:val="tr-TR" w:eastAsia="tr-TR"/>
              </w:rPr>
            </w:pPr>
            <w:r>
              <w:rPr>
                <w:sz w:val="20"/>
                <w:szCs w:val="20"/>
                <w:lang w:val="tr-TR" w:eastAsia="tr-TR"/>
              </w:rPr>
              <w:t>6</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Macaristan</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0,1010</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15</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43,00</w:t>
            </w:r>
          </w:p>
        </w:tc>
        <w:tc>
          <w:tcPr>
            <w:tcW w:w="714" w:type="pct"/>
          </w:tcPr>
          <w:p w:rsidR="00234168" w:rsidRPr="00667647" w:rsidRDefault="005C39D1" w:rsidP="00667647">
            <w:pPr>
              <w:overflowPunct/>
              <w:autoSpaceDE/>
              <w:autoSpaceDN/>
              <w:adjustRightInd/>
              <w:jc w:val="center"/>
              <w:textAlignment w:val="auto"/>
              <w:rPr>
                <w:sz w:val="20"/>
                <w:szCs w:val="20"/>
                <w:lang w:val="tr-TR" w:eastAsia="tr-TR"/>
              </w:rPr>
            </w:pPr>
            <w:r>
              <w:rPr>
                <w:sz w:val="20"/>
                <w:szCs w:val="20"/>
                <w:lang w:val="tr-TR" w:eastAsia="tr-TR"/>
              </w:rPr>
              <w:t>17</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0,332</w:t>
            </w:r>
          </w:p>
        </w:tc>
        <w:tc>
          <w:tcPr>
            <w:tcW w:w="714" w:type="pct"/>
          </w:tcPr>
          <w:p w:rsidR="00234168" w:rsidRPr="00667647" w:rsidRDefault="00131082" w:rsidP="00667647">
            <w:pPr>
              <w:overflowPunct/>
              <w:autoSpaceDE/>
              <w:autoSpaceDN/>
              <w:adjustRightInd/>
              <w:jc w:val="center"/>
              <w:textAlignment w:val="auto"/>
              <w:rPr>
                <w:sz w:val="20"/>
                <w:szCs w:val="20"/>
                <w:lang w:val="tr-TR" w:eastAsia="tr-TR"/>
              </w:rPr>
            </w:pPr>
            <w:r>
              <w:rPr>
                <w:sz w:val="20"/>
                <w:szCs w:val="20"/>
                <w:lang w:val="tr-TR" w:eastAsia="tr-TR"/>
              </w:rPr>
              <w:t>17</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Portekiz</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0,0979</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16</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46,61</w:t>
            </w:r>
          </w:p>
        </w:tc>
        <w:tc>
          <w:tcPr>
            <w:tcW w:w="714" w:type="pct"/>
          </w:tcPr>
          <w:p w:rsidR="00234168" w:rsidRPr="00667647" w:rsidRDefault="00413F3E" w:rsidP="00667647">
            <w:pPr>
              <w:overflowPunct/>
              <w:autoSpaceDE/>
              <w:autoSpaceDN/>
              <w:adjustRightInd/>
              <w:jc w:val="center"/>
              <w:textAlignment w:val="auto"/>
              <w:rPr>
                <w:sz w:val="20"/>
                <w:szCs w:val="20"/>
                <w:lang w:val="tr-TR" w:eastAsia="tr-TR"/>
              </w:rPr>
            </w:pPr>
            <w:r>
              <w:rPr>
                <w:sz w:val="20"/>
                <w:szCs w:val="20"/>
                <w:lang w:val="tr-TR" w:eastAsia="tr-TR"/>
              </w:rPr>
              <w:t>15</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0,419</w:t>
            </w:r>
          </w:p>
        </w:tc>
        <w:tc>
          <w:tcPr>
            <w:tcW w:w="714" w:type="pct"/>
          </w:tcPr>
          <w:p w:rsidR="00234168" w:rsidRPr="00667647" w:rsidRDefault="00843B42" w:rsidP="00667647">
            <w:pPr>
              <w:overflowPunct/>
              <w:autoSpaceDE/>
              <w:autoSpaceDN/>
              <w:adjustRightInd/>
              <w:jc w:val="center"/>
              <w:textAlignment w:val="auto"/>
              <w:rPr>
                <w:sz w:val="20"/>
                <w:szCs w:val="20"/>
                <w:lang w:val="tr-TR" w:eastAsia="tr-TR"/>
              </w:rPr>
            </w:pPr>
            <w:r>
              <w:rPr>
                <w:sz w:val="20"/>
                <w:szCs w:val="20"/>
                <w:lang w:val="tr-TR" w:eastAsia="tr-TR"/>
              </w:rPr>
              <w:t>14</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Türkiye</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0,0948</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17</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37,81</w:t>
            </w:r>
          </w:p>
        </w:tc>
        <w:tc>
          <w:tcPr>
            <w:tcW w:w="714" w:type="pct"/>
          </w:tcPr>
          <w:p w:rsidR="00234168" w:rsidRPr="00667647" w:rsidRDefault="00DC13D5" w:rsidP="00667647">
            <w:pPr>
              <w:overflowPunct/>
              <w:autoSpaceDE/>
              <w:autoSpaceDN/>
              <w:adjustRightInd/>
              <w:jc w:val="center"/>
              <w:textAlignment w:val="auto"/>
              <w:rPr>
                <w:sz w:val="20"/>
                <w:szCs w:val="20"/>
                <w:lang w:val="tr-TR" w:eastAsia="tr-TR"/>
              </w:rPr>
            </w:pPr>
            <w:r>
              <w:rPr>
                <w:sz w:val="20"/>
                <w:szCs w:val="20"/>
                <w:lang w:val="tr-TR" w:eastAsia="tr-TR"/>
              </w:rPr>
              <w:t>24</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0,300</w:t>
            </w:r>
          </w:p>
        </w:tc>
        <w:tc>
          <w:tcPr>
            <w:tcW w:w="714" w:type="pct"/>
          </w:tcPr>
          <w:p w:rsidR="00234168" w:rsidRPr="00667647" w:rsidRDefault="00AC0CAB" w:rsidP="00667647">
            <w:pPr>
              <w:overflowPunct/>
              <w:autoSpaceDE/>
              <w:autoSpaceDN/>
              <w:adjustRightInd/>
              <w:jc w:val="center"/>
              <w:textAlignment w:val="auto"/>
              <w:rPr>
                <w:sz w:val="20"/>
                <w:szCs w:val="20"/>
                <w:lang w:val="tr-TR" w:eastAsia="tr-TR"/>
              </w:rPr>
            </w:pPr>
            <w:r>
              <w:rPr>
                <w:sz w:val="20"/>
                <w:szCs w:val="20"/>
                <w:lang w:val="tr-TR" w:eastAsia="tr-TR"/>
              </w:rPr>
              <w:t>22</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Estonya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0,0860</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18</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52,81</w:t>
            </w:r>
          </w:p>
        </w:tc>
        <w:tc>
          <w:tcPr>
            <w:tcW w:w="714" w:type="pct"/>
          </w:tcPr>
          <w:p w:rsidR="00234168" w:rsidRPr="00667647" w:rsidRDefault="00413F3E" w:rsidP="00667647">
            <w:pPr>
              <w:overflowPunct/>
              <w:autoSpaceDE/>
              <w:autoSpaceDN/>
              <w:adjustRightInd/>
              <w:jc w:val="center"/>
              <w:textAlignment w:val="auto"/>
              <w:rPr>
                <w:sz w:val="20"/>
                <w:szCs w:val="20"/>
                <w:lang w:val="tr-TR" w:eastAsia="tr-TR"/>
              </w:rPr>
            </w:pPr>
            <w:r>
              <w:rPr>
                <w:sz w:val="20"/>
                <w:szCs w:val="20"/>
                <w:lang w:val="tr-TR" w:eastAsia="tr-TR"/>
              </w:rPr>
              <w:t>11</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0,450</w:t>
            </w:r>
          </w:p>
        </w:tc>
        <w:tc>
          <w:tcPr>
            <w:tcW w:w="714" w:type="pct"/>
          </w:tcPr>
          <w:p w:rsidR="00234168" w:rsidRPr="00667647" w:rsidRDefault="00DC3906" w:rsidP="00667647">
            <w:pPr>
              <w:overflowPunct/>
              <w:autoSpaceDE/>
              <w:autoSpaceDN/>
              <w:adjustRightInd/>
              <w:jc w:val="center"/>
              <w:textAlignment w:val="auto"/>
              <w:rPr>
                <w:sz w:val="20"/>
                <w:szCs w:val="20"/>
                <w:lang w:val="tr-TR" w:eastAsia="tr-TR"/>
              </w:rPr>
            </w:pPr>
            <w:r>
              <w:rPr>
                <w:sz w:val="20"/>
                <w:szCs w:val="20"/>
                <w:lang w:val="tr-TR" w:eastAsia="tr-TR"/>
              </w:rPr>
              <w:t>12</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Slovakya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0,0834</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19</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42,99</w:t>
            </w:r>
          </w:p>
        </w:tc>
        <w:tc>
          <w:tcPr>
            <w:tcW w:w="714" w:type="pct"/>
          </w:tcPr>
          <w:p w:rsidR="00234168" w:rsidRPr="00667647" w:rsidRDefault="005C39D1" w:rsidP="00667647">
            <w:pPr>
              <w:overflowPunct/>
              <w:autoSpaceDE/>
              <w:autoSpaceDN/>
              <w:adjustRightInd/>
              <w:jc w:val="center"/>
              <w:textAlignment w:val="auto"/>
              <w:rPr>
                <w:sz w:val="20"/>
                <w:szCs w:val="20"/>
                <w:lang w:val="tr-TR" w:eastAsia="tr-TR"/>
              </w:rPr>
            </w:pPr>
            <w:r>
              <w:rPr>
                <w:sz w:val="20"/>
                <w:szCs w:val="20"/>
                <w:lang w:val="tr-TR" w:eastAsia="tr-TR"/>
              </w:rPr>
              <w:t>18</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0,348</w:t>
            </w:r>
          </w:p>
        </w:tc>
        <w:tc>
          <w:tcPr>
            <w:tcW w:w="714" w:type="pct"/>
          </w:tcPr>
          <w:p w:rsidR="00234168" w:rsidRPr="00667647" w:rsidRDefault="00131082" w:rsidP="00667647">
            <w:pPr>
              <w:overflowPunct/>
              <w:autoSpaceDE/>
              <w:autoSpaceDN/>
              <w:adjustRightInd/>
              <w:jc w:val="center"/>
              <w:textAlignment w:val="auto"/>
              <w:rPr>
                <w:sz w:val="20"/>
                <w:szCs w:val="20"/>
                <w:lang w:val="tr-TR" w:eastAsia="tr-TR"/>
              </w:rPr>
            </w:pPr>
            <w:r>
              <w:rPr>
                <w:sz w:val="20"/>
                <w:szCs w:val="20"/>
                <w:lang w:val="tr-TR" w:eastAsia="tr-TR"/>
              </w:rPr>
              <w:t>16</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Yunanistan</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0,0757</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20</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40,28</w:t>
            </w:r>
          </w:p>
        </w:tc>
        <w:tc>
          <w:tcPr>
            <w:tcW w:w="714" w:type="pct"/>
          </w:tcPr>
          <w:p w:rsidR="00234168" w:rsidRPr="00667647" w:rsidRDefault="005C39D1" w:rsidP="00667647">
            <w:pPr>
              <w:overflowPunct/>
              <w:autoSpaceDE/>
              <w:autoSpaceDN/>
              <w:adjustRightInd/>
              <w:jc w:val="center"/>
              <w:textAlignment w:val="auto"/>
              <w:rPr>
                <w:sz w:val="20"/>
                <w:szCs w:val="20"/>
                <w:lang w:val="tr-TR" w:eastAsia="tr-TR"/>
              </w:rPr>
            </w:pPr>
            <w:r>
              <w:rPr>
                <w:sz w:val="20"/>
                <w:szCs w:val="20"/>
                <w:lang w:val="tr-TR" w:eastAsia="tr-TR"/>
              </w:rPr>
              <w:t>21</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0,315</w:t>
            </w:r>
          </w:p>
        </w:tc>
        <w:tc>
          <w:tcPr>
            <w:tcW w:w="714" w:type="pct"/>
          </w:tcPr>
          <w:p w:rsidR="00234168" w:rsidRPr="00667647" w:rsidRDefault="001640D3" w:rsidP="00667647">
            <w:pPr>
              <w:overflowPunct/>
              <w:autoSpaceDE/>
              <w:autoSpaceDN/>
              <w:adjustRightInd/>
              <w:jc w:val="center"/>
              <w:textAlignment w:val="auto"/>
              <w:rPr>
                <w:sz w:val="20"/>
                <w:szCs w:val="20"/>
                <w:lang w:val="tr-TR" w:eastAsia="tr-TR"/>
              </w:rPr>
            </w:pPr>
            <w:r>
              <w:rPr>
                <w:sz w:val="20"/>
                <w:szCs w:val="20"/>
                <w:lang w:val="tr-TR" w:eastAsia="tr-TR"/>
              </w:rPr>
              <w:t>19</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Litvanya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0,0704</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21</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42,26</w:t>
            </w:r>
          </w:p>
        </w:tc>
        <w:tc>
          <w:tcPr>
            <w:tcW w:w="714" w:type="pct"/>
          </w:tcPr>
          <w:p w:rsidR="00234168" w:rsidRPr="00667647" w:rsidRDefault="005C39D1" w:rsidP="00667647">
            <w:pPr>
              <w:overflowPunct/>
              <w:autoSpaceDE/>
              <w:autoSpaceDN/>
              <w:adjustRightInd/>
              <w:jc w:val="center"/>
              <w:textAlignment w:val="auto"/>
              <w:rPr>
                <w:sz w:val="20"/>
                <w:szCs w:val="20"/>
                <w:lang w:val="tr-TR" w:eastAsia="tr-TR"/>
              </w:rPr>
            </w:pPr>
            <w:r>
              <w:rPr>
                <w:sz w:val="20"/>
                <w:szCs w:val="20"/>
                <w:lang w:val="tr-TR" w:eastAsia="tr-TR"/>
              </w:rPr>
              <w:t>19</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0,323</w:t>
            </w:r>
          </w:p>
        </w:tc>
        <w:tc>
          <w:tcPr>
            <w:tcW w:w="714" w:type="pct"/>
          </w:tcPr>
          <w:p w:rsidR="00234168" w:rsidRPr="00667647" w:rsidRDefault="00131082" w:rsidP="00667647">
            <w:pPr>
              <w:overflowPunct/>
              <w:autoSpaceDE/>
              <w:autoSpaceDN/>
              <w:adjustRightInd/>
              <w:jc w:val="center"/>
              <w:textAlignment w:val="auto"/>
              <w:rPr>
                <w:sz w:val="20"/>
                <w:szCs w:val="20"/>
                <w:lang w:val="tr-TR" w:eastAsia="tr-TR"/>
              </w:rPr>
            </w:pPr>
            <w:r>
              <w:rPr>
                <w:sz w:val="20"/>
                <w:szCs w:val="20"/>
                <w:lang w:val="tr-TR" w:eastAsia="tr-TR"/>
              </w:rPr>
              <w:t>18</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Ukrayna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0,0546</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22</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36,45</w:t>
            </w:r>
          </w:p>
        </w:tc>
        <w:tc>
          <w:tcPr>
            <w:tcW w:w="714" w:type="pct"/>
          </w:tcPr>
          <w:p w:rsidR="00234168" w:rsidRPr="00667647" w:rsidRDefault="00DC13D5" w:rsidP="00667647">
            <w:pPr>
              <w:overflowPunct/>
              <w:autoSpaceDE/>
              <w:autoSpaceDN/>
              <w:adjustRightInd/>
              <w:jc w:val="center"/>
              <w:textAlignment w:val="auto"/>
              <w:rPr>
                <w:sz w:val="20"/>
                <w:szCs w:val="20"/>
                <w:lang w:val="tr-TR" w:eastAsia="tr-TR"/>
              </w:rPr>
            </w:pPr>
            <w:r>
              <w:rPr>
                <w:sz w:val="20"/>
                <w:szCs w:val="20"/>
                <w:lang w:val="tr-TR" w:eastAsia="tr-TR"/>
              </w:rPr>
              <w:t>26</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0,154</w:t>
            </w:r>
          </w:p>
        </w:tc>
        <w:tc>
          <w:tcPr>
            <w:tcW w:w="714" w:type="pct"/>
          </w:tcPr>
          <w:p w:rsidR="00234168" w:rsidRPr="00667647" w:rsidRDefault="00FC398A" w:rsidP="00667647">
            <w:pPr>
              <w:overflowPunct/>
              <w:autoSpaceDE/>
              <w:autoSpaceDN/>
              <w:adjustRightInd/>
              <w:jc w:val="center"/>
              <w:textAlignment w:val="auto"/>
              <w:rPr>
                <w:sz w:val="20"/>
                <w:szCs w:val="20"/>
                <w:lang w:val="tr-TR" w:eastAsia="tr-TR"/>
              </w:rPr>
            </w:pPr>
            <w:r>
              <w:rPr>
                <w:sz w:val="20"/>
                <w:szCs w:val="20"/>
                <w:lang w:val="tr-TR" w:eastAsia="tr-TR"/>
              </w:rPr>
              <w:t>26</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Sırbistan</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0,0536</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23</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36,47</w:t>
            </w:r>
          </w:p>
        </w:tc>
        <w:tc>
          <w:tcPr>
            <w:tcW w:w="714" w:type="pct"/>
          </w:tcPr>
          <w:p w:rsidR="00234168" w:rsidRPr="00667647" w:rsidRDefault="00DC13D5" w:rsidP="00667647">
            <w:pPr>
              <w:overflowPunct/>
              <w:autoSpaceDE/>
              <w:autoSpaceDN/>
              <w:adjustRightInd/>
              <w:jc w:val="center"/>
              <w:textAlignment w:val="auto"/>
              <w:rPr>
                <w:sz w:val="20"/>
                <w:szCs w:val="20"/>
                <w:lang w:val="tr-TR" w:eastAsia="tr-TR"/>
              </w:rPr>
            </w:pPr>
            <w:r>
              <w:rPr>
                <w:sz w:val="20"/>
                <w:szCs w:val="20"/>
                <w:lang w:val="tr-TR" w:eastAsia="tr-TR"/>
              </w:rPr>
              <w:t>25</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0,310</w:t>
            </w:r>
          </w:p>
        </w:tc>
        <w:tc>
          <w:tcPr>
            <w:tcW w:w="714" w:type="pct"/>
          </w:tcPr>
          <w:p w:rsidR="00234168" w:rsidRPr="00667647" w:rsidRDefault="001640D3" w:rsidP="00667647">
            <w:pPr>
              <w:overflowPunct/>
              <w:autoSpaceDE/>
              <w:autoSpaceDN/>
              <w:adjustRightInd/>
              <w:jc w:val="center"/>
              <w:textAlignment w:val="auto"/>
              <w:rPr>
                <w:sz w:val="20"/>
                <w:szCs w:val="20"/>
                <w:lang w:val="tr-TR" w:eastAsia="tr-TR"/>
              </w:rPr>
            </w:pPr>
            <w:r>
              <w:rPr>
                <w:sz w:val="20"/>
                <w:szCs w:val="20"/>
                <w:lang w:val="tr-TR" w:eastAsia="tr-TR"/>
              </w:rPr>
              <w:t>20</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Hırvatistan</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0,0468</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24</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41,70</w:t>
            </w:r>
          </w:p>
        </w:tc>
        <w:tc>
          <w:tcPr>
            <w:tcW w:w="714" w:type="pct"/>
          </w:tcPr>
          <w:p w:rsidR="00234168" w:rsidRPr="00667647" w:rsidRDefault="005C39D1" w:rsidP="00667647">
            <w:pPr>
              <w:overflowPunct/>
              <w:autoSpaceDE/>
              <w:autoSpaceDN/>
              <w:adjustRightInd/>
              <w:jc w:val="center"/>
              <w:textAlignment w:val="auto"/>
              <w:rPr>
                <w:sz w:val="20"/>
                <w:szCs w:val="20"/>
                <w:lang w:val="tr-TR" w:eastAsia="tr-TR"/>
              </w:rPr>
            </w:pPr>
            <w:r>
              <w:rPr>
                <w:sz w:val="20"/>
                <w:szCs w:val="20"/>
                <w:lang w:val="tr-TR" w:eastAsia="tr-TR"/>
              </w:rPr>
              <w:t>20</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0,267</w:t>
            </w:r>
          </w:p>
        </w:tc>
        <w:tc>
          <w:tcPr>
            <w:tcW w:w="714" w:type="pct"/>
          </w:tcPr>
          <w:p w:rsidR="00234168" w:rsidRPr="00667647" w:rsidRDefault="00AC0CAB" w:rsidP="00667647">
            <w:pPr>
              <w:overflowPunct/>
              <w:autoSpaceDE/>
              <w:autoSpaceDN/>
              <w:adjustRightInd/>
              <w:jc w:val="center"/>
              <w:textAlignment w:val="auto"/>
              <w:rPr>
                <w:sz w:val="20"/>
                <w:szCs w:val="20"/>
                <w:lang w:val="tr-TR" w:eastAsia="tr-TR"/>
              </w:rPr>
            </w:pPr>
            <w:r>
              <w:rPr>
                <w:sz w:val="20"/>
                <w:szCs w:val="20"/>
                <w:lang w:val="tr-TR" w:eastAsia="tr-TR"/>
              </w:rPr>
              <w:t>23</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Letonya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0,0447</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25</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45,51</w:t>
            </w:r>
          </w:p>
        </w:tc>
        <w:tc>
          <w:tcPr>
            <w:tcW w:w="714" w:type="pct"/>
          </w:tcPr>
          <w:p w:rsidR="00234168" w:rsidRPr="00667647" w:rsidRDefault="00413F3E" w:rsidP="00667647">
            <w:pPr>
              <w:overflowPunct/>
              <w:autoSpaceDE/>
              <w:autoSpaceDN/>
              <w:adjustRightInd/>
              <w:jc w:val="center"/>
              <w:textAlignment w:val="auto"/>
              <w:rPr>
                <w:sz w:val="20"/>
                <w:szCs w:val="20"/>
                <w:lang w:val="tr-TR" w:eastAsia="tr-TR"/>
              </w:rPr>
            </w:pPr>
            <w:r>
              <w:rPr>
                <w:sz w:val="20"/>
                <w:szCs w:val="20"/>
                <w:lang w:val="tr-TR" w:eastAsia="tr-TR"/>
              </w:rPr>
              <w:t>16</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0,302</w:t>
            </w:r>
          </w:p>
        </w:tc>
        <w:tc>
          <w:tcPr>
            <w:tcW w:w="714" w:type="pct"/>
          </w:tcPr>
          <w:p w:rsidR="00234168" w:rsidRPr="00667647" w:rsidRDefault="001640D3" w:rsidP="00667647">
            <w:pPr>
              <w:overflowPunct/>
              <w:autoSpaceDE/>
              <w:autoSpaceDN/>
              <w:adjustRightInd/>
              <w:jc w:val="center"/>
              <w:textAlignment w:val="auto"/>
              <w:rPr>
                <w:sz w:val="20"/>
                <w:szCs w:val="20"/>
                <w:lang w:val="tr-TR" w:eastAsia="tr-TR"/>
              </w:rPr>
            </w:pPr>
            <w:r>
              <w:rPr>
                <w:sz w:val="20"/>
                <w:szCs w:val="20"/>
                <w:lang w:val="tr-TR" w:eastAsia="tr-TR"/>
              </w:rPr>
              <w:t>21</w:t>
            </w:r>
          </w:p>
        </w:tc>
      </w:tr>
      <w:tr w:rsidR="00234168" w:rsidRPr="00F84567" w:rsidTr="00234168">
        <w:trPr>
          <w:trHeight w:val="20"/>
          <w:jc w:val="center"/>
        </w:trPr>
        <w:tc>
          <w:tcPr>
            <w:tcW w:w="715"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Romanya</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0,0416</w:t>
            </w:r>
          </w:p>
        </w:tc>
        <w:tc>
          <w:tcPr>
            <w:tcW w:w="714" w:type="pct"/>
          </w:tcPr>
          <w:p w:rsidR="00234168" w:rsidRPr="00667647" w:rsidRDefault="005454E4" w:rsidP="00667647">
            <w:pPr>
              <w:overflowPunct/>
              <w:autoSpaceDE/>
              <w:autoSpaceDN/>
              <w:adjustRightInd/>
              <w:jc w:val="center"/>
              <w:textAlignment w:val="auto"/>
              <w:rPr>
                <w:sz w:val="20"/>
                <w:szCs w:val="20"/>
                <w:lang w:val="tr-TR" w:eastAsia="tr-TR"/>
              </w:rPr>
            </w:pPr>
            <w:r>
              <w:rPr>
                <w:sz w:val="20"/>
                <w:szCs w:val="20"/>
                <w:lang w:val="tr-TR" w:eastAsia="tr-TR"/>
              </w:rPr>
              <w:t>26</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38,20</w:t>
            </w:r>
          </w:p>
        </w:tc>
        <w:tc>
          <w:tcPr>
            <w:tcW w:w="714" w:type="pct"/>
          </w:tcPr>
          <w:p w:rsidR="00234168" w:rsidRPr="00667647" w:rsidRDefault="00DC13D5" w:rsidP="00667647">
            <w:pPr>
              <w:overflowPunct/>
              <w:autoSpaceDE/>
              <w:autoSpaceDN/>
              <w:adjustRightInd/>
              <w:jc w:val="center"/>
              <w:textAlignment w:val="auto"/>
              <w:rPr>
                <w:sz w:val="20"/>
                <w:szCs w:val="20"/>
                <w:lang w:val="tr-TR" w:eastAsia="tr-TR"/>
              </w:rPr>
            </w:pPr>
            <w:r>
              <w:rPr>
                <w:sz w:val="20"/>
                <w:szCs w:val="20"/>
                <w:lang w:val="tr-TR" w:eastAsia="tr-TR"/>
              </w:rPr>
              <w:t>23</w:t>
            </w:r>
          </w:p>
        </w:tc>
        <w:tc>
          <w:tcPr>
            <w:tcW w:w="714" w:type="pct"/>
          </w:tcPr>
          <w:p w:rsidR="00234168" w:rsidRPr="00667647" w:rsidRDefault="00234168" w:rsidP="00667647">
            <w:pPr>
              <w:overflowPunct/>
              <w:autoSpaceDE/>
              <w:autoSpaceDN/>
              <w:adjustRightInd/>
              <w:jc w:val="center"/>
              <w:textAlignment w:val="auto"/>
              <w:rPr>
                <w:sz w:val="20"/>
                <w:szCs w:val="20"/>
                <w:lang w:val="tr-TR" w:eastAsia="tr-TR"/>
              </w:rPr>
            </w:pPr>
            <w:r w:rsidRPr="00667647">
              <w:rPr>
                <w:sz w:val="20"/>
                <w:szCs w:val="20"/>
                <w:lang w:val="tr-TR" w:eastAsia="tr-TR"/>
              </w:rPr>
              <w:t>0,157</w:t>
            </w:r>
          </w:p>
        </w:tc>
        <w:tc>
          <w:tcPr>
            <w:tcW w:w="714" w:type="pct"/>
          </w:tcPr>
          <w:p w:rsidR="00234168" w:rsidRPr="00667647" w:rsidRDefault="00FC398A" w:rsidP="00667647">
            <w:pPr>
              <w:overflowPunct/>
              <w:autoSpaceDE/>
              <w:autoSpaceDN/>
              <w:adjustRightInd/>
              <w:jc w:val="center"/>
              <w:textAlignment w:val="auto"/>
              <w:rPr>
                <w:sz w:val="20"/>
                <w:szCs w:val="20"/>
                <w:lang w:val="tr-TR" w:eastAsia="tr-TR"/>
              </w:rPr>
            </w:pPr>
            <w:r>
              <w:rPr>
                <w:sz w:val="20"/>
                <w:szCs w:val="20"/>
                <w:lang w:val="tr-TR" w:eastAsia="tr-TR"/>
              </w:rPr>
              <w:t>25</w:t>
            </w:r>
          </w:p>
        </w:tc>
      </w:tr>
    </w:tbl>
    <w:p w:rsidR="00534773" w:rsidRDefault="00534773" w:rsidP="00C00207">
      <w:pPr>
        <w:pStyle w:val="P1"/>
        <w:rPr>
          <w:lang w:val="tr-TR"/>
        </w:rPr>
      </w:pPr>
      <w:r w:rsidRPr="00534773">
        <w:rPr>
          <w:lang w:val="tr-TR"/>
        </w:rPr>
        <w:t xml:space="preserve">Yapılan </w:t>
      </w:r>
      <w:r>
        <w:rPr>
          <w:lang w:val="tr-TR"/>
        </w:rPr>
        <w:t xml:space="preserve">analiz neticesinde 2015 yılı için bilim ve teknoloji göstergeleri açısından 26 Avrupa ülkesinin </w:t>
      </w:r>
      <w:r w:rsidR="00263350">
        <w:rPr>
          <w:lang w:val="tr-TR"/>
        </w:rPr>
        <w:t xml:space="preserve">performanslarının </w:t>
      </w:r>
      <w:r w:rsidR="00853CC8">
        <w:rPr>
          <w:lang w:val="tr-TR"/>
        </w:rPr>
        <w:t>K</w:t>
      </w:r>
      <w:r w:rsidR="00853CC8" w:rsidRPr="005752ED">
        <w:rPr>
          <w:vertAlign w:val="subscript"/>
          <w:lang w:val="tr-TR"/>
        </w:rPr>
        <w:t>i</w:t>
      </w:r>
      <w:r w:rsidR="00853CC8">
        <w:rPr>
          <w:lang w:val="tr-TR"/>
        </w:rPr>
        <w:t xml:space="preserve"> değerlerine göre </w:t>
      </w:r>
      <w:r>
        <w:rPr>
          <w:lang w:val="tr-TR"/>
        </w:rPr>
        <w:t>sıralamasına bakıldığında Almanya, Birleşik Krallık, Hol</w:t>
      </w:r>
      <w:r w:rsidR="00C00207">
        <w:rPr>
          <w:lang w:val="tr-TR"/>
        </w:rPr>
        <w:t>l</w:t>
      </w:r>
      <w:r>
        <w:rPr>
          <w:lang w:val="tr-TR"/>
        </w:rPr>
        <w:t>anda ve İsveç ilk sıralarda yer alırken, Hırvatistan, Letonya ve Romanya son sıralarda yer almaktadır.</w:t>
      </w:r>
      <w:r w:rsidR="002331B7">
        <w:rPr>
          <w:lang w:val="tr-TR"/>
        </w:rPr>
        <w:t xml:space="preserve"> Türkiye’nin durumuna bakıldığında ise sıralamada </w:t>
      </w:r>
      <w:r w:rsidR="00AA68D3" w:rsidRPr="00AA68D3">
        <w:rPr>
          <w:lang w:val="tr-TR"/>
        </w:rPr>
        <w:t xml:space="preserve">17. sırada </w:t>
      </w:r>
      <w:r w:rsidR="002331B7">
        <w:rPr>
          <w:lang w:val="tr-TR"/>
        </w:rPr>
        <w:t xml:space="preserve">yer </w:t>
      </w:r>
      <w:r w:rsidR="002331B7">
        <w:rPr>
          <w:lang w:val="tr-TR"/>
        </w:rPr>
        <w:lastRenderedPageBreak/>
        <w:t>aldığı görülmektedir.</w:t>
      </w:r>
      <w:r w:rsidR="00AB6332">
        <w:rPr>
          <w:lang w:val="tr-TR"/>
        </w:rPr>
        <w:t xml:space="preserve"> </w:t>
      </w:r>
      <w:r w:rsidR="0036229C">
        <w:rPr>
          <w:lang w:val="tr-TR"/>
        </w:rPr>
        <w:t>Küresel İnovasyon E</w:t>
      </w:r>
      <w:r w:rsidR="0036229C" w:rsidRPr="0036229C">
        <w:rPr>
          <w:lang w:val="tr-TR"/>
        </w:rPr>
        <w:t>ndeksi sıralaması</w:t>
      </w:r>
      <w:r w:rsidR="0036229C">
        <w:rPr>
          <w:lang w:val="tr-TR"/>
        </w:rPr>
        <w:t xml:space="preserve"> sonuçları incelendiğinde Birleşik Krallık, İsveç ve Hol</w:t>
      </w:r>
      <w:r w:rsidR="00C00207">
        <w:rPr>
          <w:lang w:val="tr-TR"/>
        </w:rPr>
        <w:t>l</w:t>
      </w:r>
      <w:r w:rsidR="0036229C">
        <w:rPr>
          <w:lang w:val="tr-TR"/>
        </w:rPr>
        <w:t xml:space="preserve">anda ilk üç sırada yer alan ülkelerdir. </w:t>
      </w:r>
      <w:r w:rsidR="00684004">
        <w:rPr>
          <w:lang w:val="tr-TR"/>
        </w:rPr>
        <w:t xml:space="preserve">Türkiye 24. sırada yer almaktadır. </w:t>
      </w:r>
      <w:r w:rsidR="00A5396A" w:rsidRPr="00A5396A">
        <w:rPr>
          <w:lang w:val="tr-TR"/>
        </w:rPr>
        <w:t xml:space="preserve">Özet İnovasyon Endeksi sıralamasına bakıldığında ise </w:t>
      </w:r>
      <w:r w:rsidR="00A5396A">
        <w:rPr>
          <w:lang w:val="tr-TR"/>
        </w:rPr>
        <w:t xml:space="preserve"> </w:t>
      </w:r>
      <w:r w:rsidR="00ED370E">
        <w:rPr>
          <w:lang w:val="tr-TR"/>
        </w:rPr>
        <w:t xml:space="preserve">İsveç, Danimarka ve Finlandiya ilk sıralarda yer alırken, </w:t>
      </w:r>
      <w:r w:rsidR="007220E9">
        <w:rPr>
          <w:lang w:val="tr-TR"/>
        </w:rPr>
        <w:t xml:space="preserve">Türkiye 22. sırada yer almaktadır. </w:t>
      </w:r>
      <w:r w:rsidR="00AB6332">
        <w:rPr>
          <w:lang w:val="tr-TR"/>
        </w:rPr>
        <w:t>Analiz sonuçları</w:t>
      </w:r>
      <w:r w:rsidR="00AD64F1">
        <w:rPr>
          <w:lang w:val="tr-TR"/>
        </w:rPr>
        <w:t>,</w:t>
      </w:r>
      <w:r w:rsidR="00AB6332">
        <w:rPr>
          <w:lang w:val="tr-TR"/>
        </w:rPr>
        <w:t xml:space="preserve"> </w:t>
      </w:r>
      <w:r w:rsidR="00AD64F1">
        <w:rPr>
          <w:lang w:val="tr-TR"/>
        </w:rPr>
        <w:t>ekonomik bakımdan gelişmiş ülkelerin bilim ve teknoloji performansı açısından da iyi olduğunu göstermektedir.</w:t>
      </w:r>
    </w:p>
    <w:p w:rsidR="005005D0" w:rsidRDefault="00C00207" w:rsidP="00C00207">
      <w:pPr>
        <w:pStyle w:val="Balk1"/>
        <w:spacing w:before="120" w:after="120"/>
        <w:rPr>
          <w:caps w:val="0"/>
          <w:sz w:val="24"/>
          <w:szCs w:val="24"/>
          <w:lang w:val="tr-TR"/>
        </w:rPr>
      </w:pPr>
      <w:r>
        <w:rPr>
          <w:sz w:val="24"/>
          <w:szCs w:val="24"/>
          <w:lang w:val="tr-TR"/>
        </w:rPr>
        <w:t xml:space="preserve">5. </w:t>
      </w:r>
      <w:r w:rsidRPr="00F84567">
        <w:rPr>
          <w:caps w:val="0"/>
          <w:sz w:val="24"/>
          <w:szCs w:val="24"/>
          <w:lang w:val="tr-TR"/>
        </w:rPr>
        <w:t xml:space="preserve">SONUÇ </w:t>
      </w:r>
      <w:r>
        <w:rPr>
          <w:caps w:val="0"/>
          <w:sz w:val="24"/>
          <w:szCs w:val="24"/>
          <w:lang w:val="tr-TR"/>
        </w:rPr>
        <w:t>VE DEĞERLENDİRME</w:t>
      </w:r>
    </w:p>
    <w:p w:rsidR="00B40225" w:rsidRDefault="00EA6E01" w:rsidP="00C00207">
      <w:pPr>
        <w:pStyle w:val="P1"/>
      </w:pPr>
      <w:r>
        <w:t>Bilim ve t</w:t>
      </w:r>
      <w:r w:rsidR="00B40225" w:rsidRPr="00B40225">
        <w:t>eknoloji, ekonomik kalkın</w:t>
      </w:r>
      <w:r>
        <w:t>ma</w:t>
      </w:r>
      <w:r w:rsidR="00AE730A">
        <w:t>nın sağlanması</w:t>
      </w:r>
      <w:r>
        <w:t xml:space="preserve"> ve yoksulluğun azaltılması</w:t>
      </w:r>
      <w:r w:rsidR="00B40225" w:rsidRPr="00B40225">
        <w:t xml:space="preserve"> için kritik girdilerdir. Bilimsel ve teknolojik </w:t>
      </w:r>
      <w:r w:rsidR="00BF41E7">
        <w:t xml:space="preserve">gelişmeler </w:t>
      </w:r>
      <w:r w:rsidR="004C7E1F">
        <w:t>günümüzde</w:t>
      </w:r>
      <w:r w:rsidR="00B40225" w:rsidRPr="00B40225">
        <w:t xml:space="preserve"> hem gelişmiş hem de gelişmekte olan ülkelerde yoksulluğun önemli derecede azaltılmasına ve yaşam kalitesin</w:t>
      </w:r>
      <w:r w:rsidR="004C7E1F">
        <w:t>in yükseltilmesine imkân sağlamaktadır. Gelecekte</w:t>
      </w:r>
      <w:r w:rsidR="00BF41E7">
        <w:t>,</w:t>
      </w:r>
      <w:r w:rsidR="00B40225" w:rsidRPr="00B40225">
        <w:t xml:space="preserve"> </w:t>
      </w:r>
      <w:r w:rsidR="00FA1659">
        <w:t>bilimsel ve teknolojik bilgileri</w:t>
      </w:r>
      <w:r w:rsidR="00B40225" w:rsidRPr="00B40225">
        <w:t xml:space="preserve"> anlama, seçme, uyarlama ve kullanma yeteneği </w:t>
      </w:r>
      <w:r w:rsidR="00BF41E7" w:rsidRPr="00B40225">
        <w:t xml:space="preserve">ülkelerin </w:t>
      </w:r>
      <w:r w:rsidR="00B40225" w:rsidRPr="00B40225">
        <w:t>maddi refah ve y</w:t>
      </w:r>
      <w:r w:rsidR="00B40225">
        <w:t>aşam kalitesini belirleyecektir (</w:t>
      </w:r>
      <w:r w:rsidR="00B40225" w:rsidRPr="00CC347F">
        <w:t>Watson</w:t>
      </w:r>
      <w:r w:rsidR="00B40225">
        <w:t xml:space="preserve"> vd., 2003: 1).</w:t>
      </w:r>
    </w:p>
    <w:p w:rsidR="00B36613" w:rsidRPr="00AD6CC2" w:rsidRDefault="00B36613" w:rsidP="00C00207">
      <w:pPr>
        <w:pStyle w:val="P1"/>
      </w:pPr>
      <w:r>
        <w:t xml:space="preserve">Uluslararası rekabette ön plana çıkmak isteyen ülkeler bilim ve teknolojideki değişmelere ve gelişmelere önem vermektedirler. Bilim ve teknoloji performansı iyi olan ülkeler </w:t>
      </w:r>
      <w:r w:rsidR="006214D5">
        <w:t>ekonomik gelişme ve ulu</w:t>
      </w:r>
      <w:r w:rsidR="008B6F55">
        <w:t>s</w:t>
      </w:r>
      <w:r w:rsidR="00655FC1">
        <w:t>lararası rekabette de öncü olabilmektedirler</w:t>
      </w:r>
      <w:r w:rsidR="006214D5">
        <w:t>.</w:t>
      </w:r>
      <w:r w:rsidR="00731E8C">
        <w:t xml:space="preserve"> </w:t>
      </w:r>
      <w:r w:rsidR="00AD6CC2" w:rsidRPr="00AD6CC2">
        <w:t>Bilim ve teknoloji</w:t>
      </w:r>
      <w:r w:rsidR="00731E8C" w:rsidRPr="00AD6CC2">
        <w:t xml:space="preserve">deki gelişmeler </w:t>
      </w:r>
      <w:r w:rsidR="007E4509">
        <w:t xml:space="preserve">ülkeler açısından </w:t>
      </w:r>
      <w:r w:rsidR="00AD6CC2" w:rsidRPr="00AD6CC2">
        <w:t>küresel rekabet gücünün</w:t>
      </w:r>
      <w:r w:rsidR="00731E8C" w:rsidRPr="00AD6CC2">
        <w:t xml:space="preserve">, ekonomik büyümenin ve gelişimin ana itici aracıdır. </w:t>
      </w:r>
      <w:r w:rsidR="00AD6CC2" w:rsidRPr="00AD6CC2">
        <w:t>Bu nedenle ülkeler bilim ve teknoloji</w:t>
      </w:r>
      <w:r w:rsidR="00731E8C" w:rsidRPr="00AD6CC2">
        <w:t>deki gelişmeleri harekete geçiren uygun ekonomi politikaları uygulayarak uzun vadede küresel rekabetçiliği, ekonomik büyümeyi ve gelişmeyi yönlendirebilirler</w:t>
      </w:r>
      <w:r w:rsidR="00F85608">
        <w:t xml:space="preserve"> (Şener ve Sarıdoğan, 2011: 827)</w:t>
      </w:r>
      <w:r w:rsidR="00731E8C" w:rsidRPr="00AD6CC2">
        <w:t>.</w:t>
      </w:r>
      <w:r w:rsidR="00F85608">
        <w:t xml:space="preserve"> </w:t>
      </w:r>
    </w:p>
    <w:p w:rsidR="001E53BD" w:rsidRPr="001E53BD" w:rsidRDefault="00235946" w:rsidP="00C00207">
      <w:pPr>
        <w:pStyle w:val="P1"/>
        <w:rPr>
          <w:lang w:val="tr-TR"/>
        </w:rPr>
      </w:pPr>
      <w:r>
        <w:rPr>
          <w:lang w:val="tr-TR"/>
        </w:rPr>
        <w:t>Çalı</w:t>
      </w:r>
      <w:r w:rsidR="00C00207">
        <w:rPr>
          <w:lang w:val="tr-TR"/>
        </w:rPr>
        <w:t>şmada 26 Avrupa ülkesinin ARAS Yön</w:t>
      </w:r>
      <w:r>
        <w:rPr>
          <w:lang w:val="tr-TR"/>
        </w:rPr>
        <w:t xml:space="preserve">temi kullanılarak </w:t>
      </w:r>
      <w:r w:rsidR="008663C4">
        <w:rPr>
          <w:lang w:val="tr-TR"/>
        </w:rPr>
        <w:t xml:space="preserve">2015 yılındaki </w:t>
      </w:r>
      <w:r>
        <w:rPr>
          <w:lang w:val="tr-TR"/>
        </w:rPr>
        <w:t xml:space="preserve">bilim ve teknoloji performansları sıralanmıştır. </w:t>
      </w:r>
      <w:r w:rsidR="00FF48A7">
        <w:rPr>
          <w:lang w:val="tr-TR"/>
        </w:rPr>
        <w:t xml:space="preserve">Aynı zamanda bilim ve teknoloji göstergelerini içeren </w:t>
      </w:r>
      <w:r w:rsidR="00157C79">
        <w:rPr>
          <w:lang w:val="tr-TR"/>
        </w:rPr>
        <w:t xml:space="preserve">diğer </w:t>
      </w:r>
      <w:r w:rsidR="00FF48A7">
        <w:rPr>
          <w:lang w:val="tr-TR"/>
        </w:rPr>
        <w:t>endekslerle sıralamalar açıs</w:t>
      </w:r>
      <w:r w:rsidR="00157C79">
        <w:rPr>
          <w:lang w:val="tr-TR"/>
        </w:rPr>
        <w:t>ından karşılaştırma yapılmıştır ve benzer sonuçlar elde edilmiştir.</w:t>
      </w:r>
      <w:r w:rsidR="00FF48A7">
        <w:rPr>
          <w:lang w:val="tr-TR"/>
        </w:rPr>
        <w:t xml:space="preserve"> </w:t>
      </w:r>
      <w:r w:rsidR="008663C4">
        <w:rPr>
          <w:lang w:val="tr-TR"/>
        </w:rPr>
        <w:t>Yapılan analiz neticesinde elde edilen sıralama incelendiğinde Almanya, Birleşik Krallık, Hol</w:t>
      </w:r>
      <w:r w:rsidR="004F41E4">
        <w:rPr>
          <w:lang w:val="tr-TR"/>
        </w:rPr>
        <w:t>l</w:t>
      </w:r>
      <w:r w:rsidR="008663C4">
        <w:rPr>
          <w:lang w:val="tr-TR"/>
        </w:rPr>
        <w:t>anda ve İsveç’in bilim ve teknolojide öncü konumda olduğu görülmüştür. Hırvatistan, Letonya ve Romanya bilim ve teknoloji açısından ele alınan dönem ve faktörler göz önüne alındığında kötü bir performans sergilemiştir.</w:t>
      </w:r>
      <w:r w:rsidR="00A46599">
        <w:rPr>
          <w:lang w:val="tr-TR"/>
        </w:rPr>
        <w:t xml:space="preserve"> Bu çalışmadan</w:t>
      </w:r>
      <w:r w:rsidR="00643876">
        <w:rPr>
          <w:lang w:val="tr-TR"/>
        </w:rPr>
        <w:t xml:space="preserve"> alanla ilgili yapılan diğ</w:t>
      </w:r>
      <w:r w:rsidR="00A46599">
        <w:rPr>
          <w:lang w:val="tr-TR"/>
        </w:rPr>
        <w:t>er çalışmalara kaynaklık etmesi</w:t>
      </w:r>
      <w:r w:rsidR="00643876">
        <w:rPr>
          <w:lang w:val="tr-TR"/>
        </w:rPr>
        <w:t xml:space="preserve"> ve </w:t>
      </w:r>
      <w:r w:rsidR="005248A3">
        <w:rPr>
          <w:lang w:val="tr-TR"/>
        </w:rPr>
        <w:t xml:space="preserve">politika yapıcılara bilim ve teknolojiyle ilgili </w:t>
      </w:r>
      <w:r w:rsidR="002910C0">
        <w:rPr>
          <w:lang w:val="tr-TR"/>
        </w:rPr>
        <w:t xml:space="preserve">plan ve </w:t>
      </w:r>
      <w:r w:rsidR="005248A3">
        <w:rPr>
          <w:lang w:val="tr-TR"/>
        </w:rPr>
        <w:t xml:space="preserve">programların oluşturulmasında yol </w:t>
      </w:r>
      <w:r w:rsidR="00A46599">
        <w:rPr>
          <w:lang w:val="tr-TR"/>
        </w:rPr>
        <w:t>göstermesi</w:t>
      </w:r>
      <w:r w:rsidR="008D07A1">
        <w:rPr>
          <w:lang w:val="tr-TR"/>
        </w:rPr>
        <w:t xml:space="preserve"> beklenmektedir.</w:t>
      </w:r>
    </w:p>
    <w:p w:rsidR="00C00207" w:rsidRDefault="00C00207" w:rsidP="00603EBC">
      <w:pPr>
        <w:pStyle w:val="Balk1"/>
        <w:spacing w:before="120" w:after="120"/>
        <w:jc w:val="center"/>
        <w:rPr>
          <w:caps w:val="0"/>
          <w:sz w:val="24"/>
          <w:szCs w:val="24"/>
          <w:lang w:val="tr-TR"/>
        </w:rPr>
      </w:pPr>
    </w:p>
    <w:p w:rsidR="00C00207" w:rsidRPr="00C00207" w:rsidRDefault="00C00207" w:rsidP="00C00207">
      <w:pPr>
        <w:rPr>
          <w:lang w:val="tr-TR"/>
        </w:rPr>
      </w:pPr>
    </w:p>
    <w:p w:rsidR="00C00207" w:rsidRDefault="00C00207" w:rsidP="00C00207">
      <w:pPr>
        <w:pStyle w:val="Balk1"/>
        <w:spacing w:before="120" w:after="120"/>
        <w:rPr>
          <w:caps w:val="0"/>
          <w:sz w:val="24"/>
          <w:szCs w:val="24"/>
          <w:lang w:val="tr-TR"/>
        </w:rPr>
      </w:pPr>
    </w:p>
    <w:p w:rsidR="00C00207" w:rsidRDefault="00C00207" w:rsidP="00C00207">
      <w:pPr>
        <w:rPr>
          <w:lang w:val="tr-TR"/>
        </w:rPr>
      </w:pPr>
    </w:p>
    <w:p w:rsidR="00C00207" w:rsidRDefault="00C00207" w:rsidP="00C00207">
      <w:pPr>
        <w:rPr>
          <w:lang w:val="tr-TR"/>
        </w:rPr>
      </w:pPr>
    </w:p>
    <w:p w:rsidR="00C00207" w:rsidRDefault="00C00207" w:rsidP="00C00207">
      <w:pPr>
        <w:rPr>
          <w:lang w:val="tr-TR"/>
        </w:rPr>
      </w:pPr>
    </w:p>
    <w:p w:rsidR="00C00207" w:rsidRDefault="00C00207" w:rsidP="00C00207">
      <w:pPr>
        <w:rPr>
          <w:lang w:val="tr-TR"/>
        </w:rPr>
      </w:pPr>
    </w:p>
    <w:p w:rsidR="00C00207" w:rsidRDefault="00C00207" w:rsidP="00C00207">
      <w:pPr>
        <w:rPr>
          <w:lang w:val="tr-TR"/>
        </w:rPr>
      </w:pPr>
    </w:p>
    <w:p w:rsidR="00C00207" w:rsidRDefault="00C00207" w:rsidP="00C00207">
      <w:pPr>
        <w:rPr>
          <w:lang w:val="tr-TR"/>
        </w:rPr>
      </w:pPr>
    </w:p>
    <w:p w:rsidR="00C00207" w:rsidRPr="00C00207" w:rsidRDefault="00C00207" w:rsidP="00C00207">
      <w:pPr>
        <w:rPr>
          <w:lang w:val="tr-TR"/>
        </w:rPr>
      </w:pPr>
    </w:p>
    <w:p w:rsidR="00C00207" w:rsidRDefault="00C00207" w:rsidP="00C00207">
      <w:pPr>
        <w:pStyle w:val="Balk1"/>
        <w:spacing w:before="120" w:after="120"/>
        <w:rPr>
          <w:caps w:val="0"/>
          <w:sz w:val="24"/>
          <w:szCs w:val="24"/>
          <w:lang w:val="tr-TR"/>
        </w:rPr>
      </w:pPr>
    </w:p>
    <w:p w:rsidR="00C00207" w:rsidRDefault="00C00207" w:rsidP="00C00207">
      <w:pPr>
        <w:pStyle w:val="Balk1"/>
        <w:spacing w:before="120" w:after="120"/>
        <w:rPr>
          <w:caps w:val="0"/>
          <w:sz w:val="24"/>
          <w:szCs w:val="24"/>
          <w:lang w:val="tr-TR"/>
        </w:rPr>
      </w:pPr>
    </w:p>
    <w:p w:rsidR="00C00207" w:rsidRPr="00C00207" w:rsidRDefault="00C00207" w:rsidP="00C00207">
      <w:pPr>
        <w:rPr>
          <w:lang w:val="tr-TR"/>
        </w:rPr>
      </w:pPr>
    </w:p>
    <w:p w:rsidR="00C00207" w:rsidRDefault="00C00207" w:rsidP="00C00207">
      <w:pPr>
        <w:pStyle w:val="Balk1"/>
        <w:spacing w:before="120" w:after="120"/>
        <w:rPr>
          <w:caps w:val="0"/>
          <w:sz w:val="24"/>
          <w:szCs w:val="24"/>
          <w:lang w:val="tr-TR"/>
        </w:rPr>
      </w:pPr>
    </w:p>
    <w:p w:rsidR="00F253FC" w:rsidRDefault="00C00207" w:rsidP="00C00207">
      <w:pPr>
        <w:pStyle w:val="Balk1"/>
        <w:spacing w:before="120" w:after="120"/>
        <w:rPr>
          <w:caps w:val="0"/>
          <w:sz w:val="24"/>
          <w:szCs w:val="24"/>
          <w:lang w:val="tr-TR"/>
        </w:rPr>
      </w:pPr>
      <w:r w:rsidRPr="00603EBC">
        <w:rPr>
          <w:caps w:val="0"/>
          <w:sz w:val="24"/>
          <w:szCs w:val="24"/>
          <w:lang w:val="tr-TR"/>
        </w:rPr>
        <w:t xml:space="preserve">KAYNAKÇA </w:t>
      </w:r>
    </w:p>
    <w:p w:rsidR="006318BE" w:rsidRDefault="009D0A41" w:rsidP="00C00207">
      <w:pPr>
        <w:pStyle w:val="ListeParagraf"/>
        <w:numPr>
          <w:ilvl w:val="0"/>
          <w:numId w:val="10"/>
        </w:numPr>
        <w:spacing w:before="60" w:after="60"/>
        <w:rPr>
          <w:rFonts w:ascii="Times New Roman" w:eastAsia="Calibri" w:hAnsi="Times New Roman"/>
          <w:sz w:val="24"/>
          <w:szCs w:val="24"/>
        </w:rPr>
      </w:pPr>
      <w:r w:rsidRPr="00C00207">
        <w:rPr>
          <w:rFonts w:ascii="Times New Roman" w:eastAsia="Calibri" w:hAnsi="Times New Roman"/>
          <w:sz w:val="24"/>
          <w:szCs w:val="24"/>
        </w:rPr>
        <w:t>BULGURCU</w:t>
      </w:r>
      <w:r w:rsidR="006318BE" w:rsidRPr="00C00207">
        <w:rPr>
          <w:rFonts w:ascii="Times New Roman" w:eastAsia="Calibri" w:hAnsi="Times New Roman"/>
          <w:sz w:val="24"/>
          <w:szCs w:val="24"/>
        </w:rPr>
        <w:t>, B. K.</w:t>
      </w:r>
      <w:r>
        <w:rPr>
          <w:rFonts w:ascii="Times New Roman" w:eastAsia="Calibri" w:hAnsi="Times New Roman"/>
          <w:sz w:val="24"/>
          <w:szCs w:val="24"/>
        </w:rPr>
        <w:t>, (2012),</w:t>
      </w:r>
      <w:r w:rsidR="006318BE" w:rsidRPr="00C00207">
        <w:rPr>
          <w:rFonts w:ascii="Times New Roman" w:eastAsia="Calibri" w:hAnsi="Times New Roman"/>
          <w:sz w:val="24"/>
          <w:szCs w:val="24"/>
        </w:rPr>
        <w:t xml:space="preserve"> </w:t>
      </w:r>
      <w:r w:rsidR="006318BE" w:rsidRPr="009D0A41">
        <w:rPr>
          <w:rFonts w:ascii="Times New Roman" w:eastAsia="Calibri" w:hAnsi="Times New Roman"/>
          <w:b/>
          <w:sz w:val="24"/>
          <w:szCs w:val="24"/>
        </w:rPr>
        <w:t>Application of TOPSIS technique for financial performance evaluation of technology firms in Istanbul stock exchange market</w:t>
      </w:r>
      <w:r>
        <w:rPr>
          <w:rFonts w:ascii="Times New Roman" w:eastAsia="Calibri" w:hAnsi="Times New Roman"/>
          <w:b/>
          <w:sz w:val="24"/>
          <w:szCs w:val="24"/>
        </w:rPr>
        <w:t>,</w:t>
      </w:r>
      <w:r w:rsidR="006318BE" w:rsidRPr="00C00207">
        <w:rPr>
          <w:rFonts w:ascii="Times New Roman" w:eastAsia="Calibri" w:hAnsi="Times New Roman"/>
          <w:sz w:val="24"/>
          <w:szCs w:val="24"/>
        </w:rPr>
        <w:t xml:space="preserve"> </w:t>
      </w:r>
      <w:r w:rsidR="006318BE" w:rsidRPr="00C00207">
        <w:rPr>
          <w:rFonts w:ascii="Times New Roman" w:eastAsia="Calibri" w:hAnsi="Times New Roman"/>
          <w:i/>
          <w:sz w:val="24"/>
          <w:szCs w:val="24"/>
        </w:rPr>
        <w:t>Procedia-Social and Behavioral Sciences</w:t>
      </w:r>
      <w:r w:rsidR="006318BE" w:rsidRPr="00C00207">
        <w:rPr>
          <w:rFonts w:ascii="Times New Roman" w:eastAsia="Calibri" w:hAnsi="Times New Roman"/>
          <w:sz w:val="24"/>
          <w:szCs w:val="24"/>
        </w:rPr>
        <w:t>, 62, 1033-1040.</w:t>
      </w:r>
    </w:p>
    <w:p w:rsidR="009D0A41" w:rsidRPr="00C00207" w:rsidRDefault="009D0A41" w:rsidP="009D0A41">
      <w:pPr>
        <w:pStyle w:val="ListeParagraf"/>
        <w:spacing w:before="60" w:after="60"/>
        <w:rPr>
          <w:rFonts w:ascii="Times New Roman" w:eastAsia="Calibri" w:hAnsi="Times New Roman"/>
          <w:sz w:val="24"/>
          <w:szCs w:val="24"/>
        </w:rPr>
      </w:pPr>
    </w:p>
    <w:p w:rsidR="00A576F5" w:rsidRDefault="009D0A41" w:rsidP="00C00207">
      <w:pPr>
        <w:pStyle w:val="ListeParagraf"/>
        <w:numPr>
          <w:ilvl w:val="0"/>
          <w:numId w:val="10"/>
        </w:numPr>
        <w:spacing w:before="60" w:after="60"/>
        <w:rPr>
          <w:rFonts w:ascii="Times New Roman" w:eastAsia="Calibri" w:hAnsi="Times New Roman"/>
          <w:sz w:val="24"/>
          <w:szCs w:val="24"/>
        </w:rPr>
      </w:pPr>
      <w:r>
        <w:rPr>
          <w:rFonts w:ascii="Times New Roman" w:eastAsia="Calibri" w:hAnsi="Times New Roman"/>
          <w:sz w:val="24"/>
          <w:szCs w:val="24"/>
        </w:rPr>
        <w:t>COCCI</w:t>
      </w:r>
      <w:r w:rsidRPr="00C00207">
        <w:rPr>
          <w:rFonts w:ascii="Times New Roman" w:eastAsia="Calibri" w:hAnsi="Times New Roman"/>
          <w:sz w:val="24"/>
          <w:szCs w:val="24"/>
        </w:rPr>
        <w:t>A</w:t>
      </w:r>
      <w:r w:rsidR="00A576F5" w:rsidRPr="00C00207">
        <w:rPr>
          <w:rFonts w:ascii="Times New Roman" w:eastAsia="Calibri" w:hAnsi="Times New Roman"/>
          <w:sz w:val="24"/>
          <w:szCs w:val="24"/>
        </w:rPr>
        <w:t>, M.</w:t>
      </w:r>
      <w:r>
        <w:rPr>
          <w:rFonts w:ascii="Times New Roman" w:eastAsia="Calibri" w:hAnsi="Times New Roman"/>
          <w:sz w:val="24"/>
          <w:szCs w:val="24"/>
        </w:rPr>
        <w:t>, (2017),</w:t>
      </w:r>
      <w:r w:rsidR="00A576F5" w:rsidRPr="00C00207">
        <w:rPr>
          <w:rFonts w:ascii="Times New Roman" w:eastAsia="Calibri" w:hAnsi="Times New Roman"/>
          <w:sz w:val="24"/>
          <w:szCs w:val="24"/>
        </w:rPr>
        <w:t xml:space="preserve"> </w:t>
      </w:r>
      <w:r w:rsidR="00A576F5" w:rsidRPr="009D0A41">
        <w:rPr>
          <w:rFonts w:ascii="Times New Roman" w:eastAsia="Calibri" w:hAnsi="Times New Roman"/>
          <w:b/>
          <w:sz w:val="24"/>
          <w:szCs w:val="24"/>
        </w:rPr>
        <w:t>Aggregate index for measuring the economic and technological performance of nations</w:t>
      </w:r>
      <w:r>
        <w:rPr>
          <w:rFonts w:ascii="Times New Roman" w:eastAsia="Calibri" w:hAnsi="Times New Roman"/>
          <w:sz w:val="24"/>
          <w:szCs w:val="24"/>
        </w:rPr>
        <w:t>,</w:t>
      </w:r>
      <w:r w:rsidR="00F110FE" w:rsidRPr="00C00207">
        <w:rPr>
          <w:rFonts w:ascii="Times New Roman" w:eastAsia="Calibri" w:hAnsi="Times New Roman"/>
          <w:sz w:val="24"/>
          <w:szCs w:val="24"/>
        </w:rPr>
        <w:t xml:space="preserve"> Coccia</w:t>
      </w:r>
      <w:r>
        <w:rPr>
          <w:rFonts w:ascii="Times New Roman" w:eastAsia="Calibri" w:hAnsi="Times New Roman"/>
          <w:sz w:val="24"/>
          <w:szCs w:val="24"/>
        </w:rPr>
        <w:t xml:space="preserve"> </w:t>
      </w:r>
      <w:r w:rsidR="00F110FE" w:rsidRPr="00C00207">
        <w:rPr>
          <w:rFonts w:ascii="Times New Roman" w:eastAsia="Calibri" w:hAnsi="Times New Roman"/>
          <w:sz w:val="24"/>
          <w:szCs w:val="24"/>
        </w:rPr>
        <w:t>Lab Working Paper, No. 19, 1-31.</w:t>
      </w:r>
    </w:p>
    <w:p w:rsidR="009D0A41" w:rsidRPr="009D0A41" w:rsidRDefault="009D0A41" w:rsidP="009D0A41">
      <w:pPr>
        <w:pStyle w:val="ListeParagraf"/>
        <w:rPr>
          <w:rFonts w:ascii="Times New Roman" w:eastAsia="Calibri" w:hAnsi="Times New Roman"/>
          <w:sz w:val="24"/>
          <w:szCs w:val="24"/>
        </w:rPr>
      </w:pPr>
    </w:p>
    <w:p w:rsidR="009C2674" w:rsidRDefault="009D0A41" w:rsidP="00C00207">
      <w:pPr>
        <w:pStyle w:val="ListeParagraf"/>
        <w:numPr>
          <w:ilvl w:val="0"/>
          <w:numId w:val="10"/>
        </w:numPr>
        <w:spacing w:before="60" w:after="60"/>
        <w:rPr>
          <w:rFonts w:ascii="Times New Roman" w:eastAsia="Calibri" w:hAnsi="Times New Roman"/>
          <w:sz w:val="24"/>
          <w:szCs w:val="24"/>
        </w:rPr>
      </w:pPr>
      <w:r w:rsidRPr="00C00207">
        <w:rPr>
          <w:rFonts w:ascii="Times New Roman" w:hAnsi="Times New Roman"/>
          <w:sz w:val="24"/>
          <w:szCs w:val="24"/>
        </w:rPr>
        <w:t>GLOBAL INNOVAT</w:t>
      </w:r>
      <w:r>
        <w:rPr>
          <w:rFonts w:ascii="Times New Roman" w:hAnsi="Times New Roman"/>
          <w:sz w:val="24"/>
          <w:szCs w:val="24"/>
        </w:rPr>
        <w:t>I</w:t>
      </w:r>
      <w:r w:rsidRPr="00C00207">
        <w:rPr>
          <w:rFonts w:ascii="Times New Roman" w:hAnsi="Times New Roman"/>
          <w:sz w:val="24"/>
          <w:szCs w:val="24"/>
        </w:rPr>
        <w:t>ON INDEX</w:t>
      </w:r>
      <w:r>
        <w:rPr>
          <w:rFonts w:ascii="Times New Roman" w:hAnsi="Times New Roman"/>
          <w:sz w:val="24"/>
          <w:szCs w:val="24"/>
        </w:rPr>
        <w:t>,</w:t>
      </w:r>
      <w:r w:rsidR="009C2674" w:rsidRPr="00C00207">
        <w:rPr>
          <w:rFonts w:ascii="Times New Roman" w:hAnsi="Times New Roman"/>
          <w:b/>
          <w:bCs/>
          <w:color w:val="333333"/>
          <w:sz w:val="24"/>
          <w:szCs w:val="24"/>
          <w:shd w:val="clear" w:color="auto" w:fill="FFFFFF"/>
        </w:rPr>
        <w:t xml:space="preserve"> </w:t>
      </w:r>
      <w:hyperlink r:id="rId43" w:history="1">
        <w:r w:rsidR="009C2674" w:rsidRPr="00C00207">
          <w:rPr>
            <w:rStyle w:val="Kpr"/>
            <w:rFonts w:ascii="Times New Roman" w:eastAsia="Calibri" w:hAnsi="Times New Roman"/>
            <w:sz w:val="24"/>
            <w:szCs w:val="24"/>
          </w:rPr>
          <w:t>https://www.globalinnovationindex.org/analysis-indicator</w:t>
        </w:r>
      </w:hyperlink>
      <w:r w:rsidR="009C2674" w:rsidRPr="00C00207">
        <w:rPr>
          <w:rFonts w:ascii="Times New Roman" w:eastAsia="Calibri" w:hAnsi="Times New Roman"/>
          <w:sz w:val="24"/>
          <w:szCs w:val="24"/>
        </w:rPr>
        <w:t>, (</w:t>
      </w:r>
      <w:r>
        <w:rPr>
          <w:rFonts w:ascii="Times New Roman" w:eastAsia="Calibri" w:hAnsi="Times New Roman"/>
          <w:sz w:val="24"/>
          <w:szCs w:val="24"/>
        </w:rPr>
        <w:t xml:space="preserve">Erişim Tarihi: </w:t>
      </w:r>
      <w:r w:rsidR="009C2674" w:rsidRPr="00C00207">
        <w:rPr>
          <w:rFonts w:ascii="Times New Roman" w:eastAsia="Calibri" w:hAnsi="Times New Roman"/>
          <w:sz w:val="24"/>
          <w:szCs w:val="24"/>
        </w:rPr>
        <w:t>09.02.2018).</w:t>
      </w:r>
    </w:p>
    <w:p w:rsidR="009D0A41" w:rsidRPr="009D0A41" w:rsidRDefault="009D0A41" w:rsidP="009D0A41">
      <w:pPr>
        <w:pStyle w:val="ListeParagraf"/>
        <w:rPr>
          <w:rFonts w:ascii="Times New Roman" w:eastAsia="Calibri" w:hAnsi="Times New Roman"/>
          <w:sz w:val="24"/>
          <w:szCs w:val="24"/>
        </w:rPr>
      </w:pPr>
    </w:p>
    <w:p w:rsidR="005B5B68" w:rsidRDefault="009D0A41" w:rsidP="00C00207">
      <w:pPr>
        <w:pStyle w:val="ListeParagraf"/>
        <w:numPr>
          <w:ilvl w:val="0"/>
          <w:numId w:val="10"/>
        </w:numPr>
        <w:spacing w:before="60" w:after="60"/>
        <w:rPr>
          <w:rFonts w:ascii="Times New Roman" w:eastAsia="Calibri" w:hAnsi="Times New Roman"/>
          <w:sz w:val="24"/>
          <w:szCs w:val="24"/>
        </w:rPr>
      </w:pPr>
      <w:r w:rsidRPr="00C00207">
        <w:rPr>
          <w:rFonts w:ascii="Times New Roman" w:eastAsia="Calibri" w:hAnsi="Times New Roman"/>
          <w:sz w:val="24"/>
          <w:szCs w:val="24"/>
        </w:rPr>
        <w:t>KOSTOFF</w:t>
      </w:r>
      <w:r w:rsidR="005B5B68" w:rsidRPr="00C00207">
        <w:rPr>
          <w:rFonts w:ascii="Times New Roman" w:eastAsia="Calibri" w:hAnsi="Times New Roman"/>
          <w:sz w:val="24"/>
          <w:szCs w:val="24"/>
        </w:rPr>
        <w:t>, R. N.</w:t>
      </w:r>
      <w:r>
        <w:rPr>
          <w:rFonts w:ascii="Times New Roman" w:eastAsia="Calibri" w:hAnsi="Times New Roman"/>
          <w:sz w:val="24"/>
          <w:szCs w:val="24"/>
        </w:rPr>
        <w:t>, (2008),</w:t>
      </w:r>
      <w:r w:rsidR="005B5B68" w:rsidRPr="00C00207">
        <w:rPr>
          <w:rFonts w:ascii="Times New Roman" w:eastAsia="Calibri" w:hAnsi="Times New Roman"/>
          <w:sz w:val="24"/>
          <w:szCs w:val="24"/>
        </w:rPr>
        <w:t xml:space="preserve"> </w:t>
      </w:r>
      <w:r w:rsidR="005B5B68" w:rsidRPr="009D0A41">
        <w:rPr>
          <w:rFonts w:ascii="Times New Roman" w:eastAsia="Calibri" w:hAnsi="Times New Roman"/>
          <w:b/>
          <w:sz w:val="24"/>
          <w:szCs w:val="24"/>
        </w:rPr>
        <w:t>Comparison of China/USA science and technology performance</w:t>
      </w:r>
      <w:r>
        <w:rPr>
          <w:rFonts w:ascii="Times New Roman" w:eastAsia="Calibri" w:hAnsi="Times New Roman"/>
          <w:sz w:val="24"/>
          <w:szCs w:val="24"/>
        </w:rPr>
        <w:t xml:space="preserve">, </w:t>
      </w:r>
      <w:r w:rsidR="005B5B68" w:rsidRPr="00C00207">
        <w:rPr>
          <w:rFonts w:ascii="Times New Roman" w:eastAsia="Calibri" w:hAnsi="Times New Roman"/>
          <w:sz w:val="24"/>
          <w:szCs w:val="24"/>
        </w:rPr>
        <w:t xml:space="preserve"> </w:t>
      </w:r>
      <w:r w:rsidR="005B5B68" w:rsidRPr="00C00207">
        <w:rPr>
          <w:rFonts w:ascii="Times New Roman" w:eastAsia="Calibri" w:hAnsi="Times New Roman"/>
          <w:i/>
          <w:sz w:val="24"/>
          <w:szCs w:val="24"/>
        </w:rPr>
        <w:t>Journal of Informetrics</w:t>
      </w:r>
      <w:r w:rsidR="005B5B68" w:rsidRPr="00C00207">
        <w:rPr>
          <w:rFonts w:ascii="Times New Roman" w:eastAsia="Calibri" w:hAnsi="Times New Roman"/>
          <w:sz w:val="24"/>
          <w:szCs w:val="24"/>
        </w:rPr>
        <w:t>, 2</w:t>
      </w:r>
      <w:r>
        <w:rPr>
          <w:rFonts w:ascii="Times New Roman" w:eastAsia="Calibri" w:hAnsi="Times New Roman"/>
          <w:sz w:val="24"/>
          <w:szCs w:val="24"/>
        </w:rPr>
        <w:t xml:space="preserve"> </w:t>
      </w:r>
      <w:r w:rsidR="005B5B68" w:rsidRPr="00C00207">
        <w:rPr>
          <w:rFonts w:ascii="Times New Roman" w:eastAsia="Calibri" w:hAnsi="Times New Roman"/>
          <w:sz w:val="24"/>
          <w:szCs w:val="24"/>
        </w:rPr>
        <w:t>(4), 354-363.</w:t>
      </w:r>
    </w:p>
    <w:p w:rsidR="009D0A41" w:rsidRPr="009D0A41" w:rsidRDefault="009D0A41" w:rsidP="009D0A41">
      <w:pPr>
        <w:pStyle w:val="ListeParagraf"/>
        <w:rPr>
          <w:rFonts w:ascii="Times New Roman" w:eastAsia="Calibri" w:hAnsi="Times New Roman"/>
          <w:sz w:val="24"/>
          <w:szCs w:val="24"/>
        </w:rPr>
      </w:pPr>
    </w:p>
    <w:p w:rsidR="0039179F" w:rsidRDefault="009D0A41" w:rsidP="00C00207">
      <w:pPr>
        <w:pStyle w:val="ListeParagraf"/>
        <w:numPr>
          <w:ilvl w:val="0"/>
          <w:numId w:val="10"/>
        </w:numPr>
        <w:spacing w:before="60" w:after="60"/>
        <w:rPr>
          <w:rFonts w:ascii="Times New Roman" w:eastAsia="Calibri" w:hAnsi="Times New Roman"/>
          <w:sz w:val="24"/>
          <w:szCs w:val="24"/>
        </w:rPr>
      </w:pPr>
      <w:r w:rsidRPr="00C00207">
        <w:rPr>
          <w:rFonts w:ascii="Times New Roman" w:eastAsia="Calibri" w:hAnsi="Times New Roman"/>
          <w:sz w:val="24"/>
          <w:szCs w:val="24"/>
        </w:rPr>
        <w:t>MURAT</w:t>
      </w:r>
      <w:r w:rsidR="0039179F" w:rsidRPr="00C00207">
        <w:rPr>
          <w:rFonts w:ascii="Times New Roman" w:eastAsia="Calibri" w:hAnsi="Times New Roman"/>
          <w:sz w:val="24"/>
          <w:szCs w:val="24"/>
        </w:rPr>
        <w:t xml:space="preserve">, S., </w:t>
      </w:r>
      <w:r w:rsidRPr="00C00207">
        <w:rPr>
          <w:rFonts w:ascii="Times New Roman" w:eastAsia="Calibri" w:hAnsi="Times New Roman"/>
          <w:sz w:val="24"/>
          <w:szCs w:val="24"/>
        </w:rPr>
        <w:t>KAZAN</w:t>
      </w:r>
      <w:r w:rsidR="0039179F" w:rsidRPr="00C00207">
        <w:rPr>
          <w:rFonts w:ascii="Times New Roman" w:eastAsia="Calibri" w:hAnsi="Times New Roman"/>
          <w:sz w:val="24"/>
          <w:szCs w:val="24"/>
        </w:rPr>
        <w:t xml:space="preserve">, H., &amp; </w:t>
      </w:r>
      <w:r w:rsidRPr="00C00207">
        <w:rPr>
          <w:rFonts w:ascii="Times New Roman" w:eastAsia="Calibri" w:hAnsi="Times New Roman"/>
          <w:sz w:val="24"/>
          <w:szCs w:val="24"/>
        </w:rPr>
        <w:t>COSKUN</w:t>
      </w:r>
      <w:r>
        <w:rPr>
          <w:rFonts w:ascii="Times New Roman" w:eastAsia="Calibri" w:hAnsi="Times New Roman"/>
          <w:sz w:val="24"/>
          <w:szCs w:val="24"/>
        </w:rPr>
        <w:t>, S. S., (2015),</w:t>
      </w:r>
      <w:r w:rsidR="0039179F" w:rsidRPr="00C00207">
        <w:rPr>
          <w:rFonts w:ascii="Times New Roman" w:eastAsia="Calibri" w:hAnsi="Times New Roman"/>
          <w:sz w:val="24"/>
          <w:szCs w:val="24"/>
        </w:rPr>
        <w:t xml:space="preserve"> </w:t>
      </w:r>
      <w:r w:rsidR="0039179F" w:rsidRPr="009D0A41">
        <w:rPr>
          <w:rFonts w:ascii="Times New Roman" w:eastAsia="Calibri" w:hAnsi="Times New Roman"/>
          <w:b/>
          <w:sz w:val="24"/>
          <w:szCs w:val="24"/>
        </w:rPr>
        <w:t>An application for measuring performance quality of schools by usi</w:t>
      </w:r>
      <w:r w:rsidR="00DC5634" w:rsidRPr="009D0A41">
        <w:rPr>
          <w:rFonts w:ascii="Times New Roman" w:eastAsia="Calibri" w:hAnsi="Times New Roman"/>
          <w:b/>
          <w:sz w:val="24"/>
          <w:szCs w:val="24"/>
        </w:rPr>
        <w:t xml:space="preserve">ng the PROMETHEE multi-criteria </w:t>
      </w:r>
      <w:r w:rsidR="0039179F" w:rsidRPr="009D0A41">
        <w:rPr>
          <w:rFonts w:ascii="Times New Roman" w:eastAsia="Calibri" w:hAnsi="Times New Roman"/>
          <w:b/>
          <w:sz w:val="24"/>
          <w:szCs w:val="24"/>
        </w:rPr>
        <w:t>decision making method</w:t>
      </w:r>
      <w:r>
        <w:rPr>
          <w:rFonts w:ascii="Times New Roman" w:eastAsia="Calibri" w:hAnsi="Times New Roman"/>
          <w:b/>
          <w:sz w:val="24"/>
          <w:szCs w:val="24"/>
        </w:rPr>
        <w:t>,</w:t>
      </w:r>
      <w:r w:rsidR="0039179F" w:rsidRPr="00C00207">
        <w:rPr>
          <w:rFonts w:ascii="Times New Roman" w:eastAsia="Calibri" w:hAnsi="Times New Roman"/>
          <w:sz w:val="24"/>
          <w:szCs w:val="24"/>
        </w:rPr>
        <w:t xml:space="preserve"> </w:t>
      </w:r>
      <w:r w:rsidR="0039179F" w:rsidRPr="00C00207">
        <w:rPr>
          <w:rFonts w:ascii="Times New Roman" w:eastAsia="Calibri" w:hAnsi="Times New Roman"/>
          <w:i/>
          <w:sz w:val="24"/>
          <w:szCs w:val="24"/>
        </w:rPr>
        <w:t>Procedia-Social and Behavioral Sciences</w:t>
      </w:r>
      <w:r w:rsidR="0039179F" w:rsidRPr="00C00207">
        <w:rPr>
          <w:rFonts w:ascii="Times New Roman" w:eastAsia="Calibri" w:hAnsi="Times New Roman"/>
          <w:sz w:val="24"/>
          <w:szCs w:val="24"/>
        </w:rPr>
        <w:t>, 195, 729-738.</w:t>
      </w:r>
    </w:p>
    <w:p w:rsidR="009D0A41" w:rsidRPr="009D0A41" w:rsidRDefault="009D0A41" w:rsidP="009D0A41">
      <w:pPr>
        <w:pStyle w:val="ListeParagraf"/>
        <w:rPr>
          <w:rFonts w:ascii="Times New Roman" w:eastAsia="Calibri" w:hAnsi="Times New Roman"/>
          <w:sz w:val="24"/>
          <w:szCs w:val="24"/>
        </w:rPr>
      </w:pPr>
    </w:p>
    <w:p w:rsidR="007810C9" w:rsidRDefault="009D0A41" w:rsidP="00C00207">
      <w:pPr>
        <w:pStyle w:val="ListeParagraf"/>
        <w:numPr>
          <w:ilvl w:val="0"/>
          <w:numId w:val="10"/>
        </w:numPr>
        <w:spacing w:before="60" w:after="60"/>
        <w:rPr>
          <w:rFonts w:ascii="Times New Roman" w:eastAsia="Calibri" w:hAnsi="Times New Roman"/>
          <w:sz w:val="24"/>
          <w:szCs w:val="24"/>
        </w:rPr>
      </w:pPr>
      <w:r w:rsidRPr="00C00207">
        <w:rPr>
          <w:rFonts w:ascii="Times New Roman" w:eastAsia="Calibri" w:hAnsi="Times New Roman"/>
          <w:sz w:val="24"/>
          <w:szCs w:val="24"/>
        </w:rPr>
        <w:t>NOUR</w:t>
      </w:r>
      <w:r w:rsidR="007810C9" w:rsidRPr="00C00207">
        <w:rPr>
          <w:rFonts w:ascii="Times New Roman" w:eastAsia="Calibri" w:hAnsi="Times New Roman"/>
          <w:sz w:val="24"/>
          <w:szCs w:val="24"/>
        </w:rPr>
        <w:t>, S. S. O. M.</w:t>
      </w:r>
      <w:r>
        <w:rPr>
          <w:rFonts w:ascii="Times New Roman" w:eastAsia="Calibri" w:hAnsi="Times New Roman"/>
          <w:sz w:val="24"/>
          <w:szCs w:val="24"/>
        </w:rPr>
        <w:t>,</w:t>
      </w:r>
      <w:r w:rsidR="00BE3981">
        <w:rPr>
          <w:rFonts w:ascii="Times New Roman" w:eastAsia="Calibri" w:hAnsi="Times New Roman"/>
          <w:sz w:val="24"/>
          <w:szCs w:val="24"/>
        </w:rPr>
        <w:t xml:space="preserve"> (2012)</w:t>
      </w:r>
      <w:r>
        <w:rPr>
          <w:rFonts w:ascii="Times New Roman" w:eastAsia="Calibri" w:hAnsi="Times New Roman"/>
          <w:sz w:val="24"/>
          <w:szCs w:val="24"/>
        </w:rPr>
        <w:t>,</w:t>
      </w:r>
      <w:r w:rsidR="007810C9" w:rsidRPr="00C00207">
        <w:rPr>
          <w:rFonts w:ascii="Times New Roman" w:eastAsia="Calibri" w:hAnsi="Times New Roman"/>
          <w:sz w:val="24"/>
          <w:szCs w:val="24"/>
        </w:rPr>
        <w:t xml:space="preserve"> </w:t>
      </w:r>
      <w:r w:rsidR="007810C9" w:rsidRPr="00BE3981">
        <w:rPr>
          <w:rFonts w:ascii="Times New Roman" w:eastAsia="Calibri" w:hAnsi="Times New Roman"/>
          <w:b/>
          <w:sz w:val="24"/>
          <w:szCs w:val="24"/>
        </w:rPr>
        <w:t>Assessment of science and technology indicators in Sudan</w:t>
      </w:r>
      <w:r w:rsidR="00BE3981">
        <w:rPr>
          <w:rFonts w:ascii="Times New Roman" w:eastAsia="Calibri" w:hAnsi="Times New Roman"/>
          <w:b/>
          <w:sz w:val="24"/>
          <w:szCs w:val="24"/>
        </w:rPr>
        <w:t>,</w:t>
      </w:r>
      <w:r w:rsidR="007810C9" w:rsidRPr="00C00207">
        <w:rPr>
          <w:rFonts w:ascii="Times New Roman" w:eastAsia="Calibri" w:hAnsi="Times New Roman"/>
          <w:sz w:val="24"/>
          <w:szCs w:val="24"/>
        </w:rPr>
        <w:t xml:space="preserve"> Science, Technology and Society, 17</w:t>
      </w:r>
      <w:r w:rsidR="00BE3981">
        <w:rPr>
          <w:rFonts w:ascii="Times New Roman" w:eastAsia="Calibri" w:hAnsi="Times New Roman"/>
          <w:sz w:val="24"/>
          <w:szCs w:val="24"/>
        </w:rPr>
        <w:t xml:space="preserve"> </w:t>
      </w:r>
      <w:r w:rsidR="007810C9" w:rsidRPr="00C00207">
        <w:rPr>
          <w:rFonts w:ascii="Times New Roman" w:eastAsia="Calibri" w:hAnsi="Times New Roman"/>
          <w:sz w:val="24"/>
          <w:szCs w:val="24"/>
        </w:rPr>
        <w:t>(2), 323-354.</w:t>
      </w:r>
    </w:p>
    <w:p w:rsidR="00BE3981" w:rsidRPr="00BE3981" w:rsidRDefault="00BE3981" w:rsidP="00BE3981">
      <w:pPr>
        <w:pStyle w:val="ListeParagraf"/>
        <w:rPr>
          <w:rFonts w:ascii="Times New Roman" w:eastAsia="Calibri" w:hAnsi="Times New Roman"/>
          <w:sz w:val="24"/>
          <w:szCs w:val="24"/>
        </w:rPr>
      </w:pPr>
    </w:p>
    <w:p w:rsidR="00E86A7A" w:rsidRDefault="00E86A7A" w:rsidP="00BE3981">
      <w:pPr>
        <w:pStyle w:val="ListeParagraf"/>
        <w:numPr>
          <w:ilvl w:val="0"/>
          <w:numId w:val="10"/>
        </w:numPr>
        <w:rPr>
          <w:rFonts w:ascii="Times New Roman" w:eastAsia="Calibri" w:hAnsi="Times New Roman"/>
          <w:sz w:val="24"/>
          <w:szCs w:val="24"/>
        </w:rPr>
      </w:pPr>
      <w:r w:rsidRPr="00BE3981">
        <w:rPr>
          <w:rFonts w:ascii="Times New Roman" w:eastAsia="Calibri" w:hAnsi="Times New Roman"/>
          <w:sz w:val="24"/>
          <w:szCs w:val="24"/>
        </w:rPr>
        <w:t>OECD</w:t>
      </w:r>
      <w:r w:rsidR="00BE3981" w:rsidRPr="00BE3981">
        <w:rPr>
          <w:rFonts w:ascii="Times New Roman" w:eastAsia="Calibri" w:hAnsi="Times New Roman"/>
          <w:sz w:val="24"/>
          <w:szCs w:val="24"/>
        </w:rPr>
        <w:t>,</w:t>
      </w:r>
      <w:r w:rsidRPr="00BE3981">
        <w:rPr>
          <w:rFonts w:ascii="Times New Roman" w:eastAsia="Calibri" w:hAnsi="Times New Roman"/>
          <w:sz w:val="24"/>
          <w:szCs w:val="24"/>
        </w:rPr>
        <w:t xml:space="preserve"> https://data.oecd.org/rd/researchers.htm#indicator-chart, (</w:t>
      </w:r>
      <w:r w:rsidR="00BE3981">
        <w:rPr>
          <w:rFonts w:ascii="Times New Roman" w:eastAsia="Calibri" w:hAnsi="Times New Roman"/>
          <w:sz w:val="24"/>
          <w:szCs w:val="24"/>
        </w:rPr>
        <w:t xml:space="preserve">Erişim Tarihi: </w:t>
      </w:r>
      <w:r w:rsidRPr="00BE3981">
        <w:rPr>
          <w:rFonts w:ascii="Times New Roman" w:eastAsia="Calibri" w:hAnsi="Times New Roman"/>
          <w:sz w:val="24"/>
          <w:szCs w:val="24"/>
        </w:rPr>
        <w:t>17.09.2017).</w:t>
      </w:r>
    </w:p>
    <w:p w:rsidR="00BE3981" w:rsidRPr="00BE3981" w:rsidRDefault="00BE3981" w:rsidP="00BE3981">
      <w:pPr>
        <w:pStyle w:val="ListeParagraf"/>
        <w:rPr>
          <w:rFonts w:ascii="Times New Roman" w:eastAsia="Calibri" w:hAnsi="Times New Roman"/>
          <w:sz w:val="24"/>
          <w:szCs w:val="24"/>
        </w:rPr>
      </w:pPr>
    </w:p>
    <w:p w:rsidR="001015B6" w:rsidRDefault="00BE3981" w:rsidP="00C00207">
      <w:pPr>
        <w:pStyle w:val="ListeParagraf"/>
        <w:numPr>
          <w:ilvl w:val="0"/>
          <w:numId w:val="10"/>
        </w:numPr>
        <w:spacing w:before="60" w:after="60"/>
        <w:rPr>
          <w:rFonts w:ascii="Times New Roman" w:eastAsia="Calibri" w:hAnsi="Times New Roman"/>
          <w:sz w:val="24"/>
          <w:szCs w:val="24"/>
        </w:rPr>
      </w:pPr>
      <w:r>
        <w:rPr>
          <w:rFonts w:ascii="Times New Roman" w:eastAsia="Calibri" w:hAnsi="Times New Roman"/>
          <w:sz w:val="24"/>
          <w:szCs w:val="24"/>
        </w:rPr>
        <w:t>RODRI</w:t>
      </w:r>
      <w:r w:rsidRPr="00C00207">
        <w:rPr>
          <w:rFonts w:ascii="Times New Roman" w:eastAsia="Calibri" w:hAnsi="Times New Roman"/>
          <w:sz w:val="24"/>
          <w:szCs w:val="24"/>
        </w:rPr>
        <w:t>GUEZ</w:t>
      </w:r>
      <w:r w:rsidR="001015B6" w:rsidRPr="00C00207">
        <w:rPr>
          <w:rFonts w:ascii="Times New Roman" w:eastAsia="Calibri" w:hAnsi="Times New Roman"/>
          <w:sz w:val="24"/>
          <w:szCs w:val="24"/>
        </w:rPr>
        <w:t xml:space="preserve">, V., &amp; </w:t>
      </w:r>
      <w:r w:rsidRPr="00C00207">
        <w:rPr>
          <w:rFonts w:ascii="Times New Roman" w:eastAsia="Calibri" w:hAnsi="Times New Roman"/>
          <w:sz w:val="24"/>
          <w:szCs w:val="24"/>
        </w:rPr>
        <w:t>SOEPARWATA</w:t>
      </w:r>
      <w:r w:rsidR="001015B6" w:rsidRPr="00C00207">
        <w:rPr>
          <w:rFonts w:ascii="Times New Roman" w:eastAsia="Calibri" w:hAnsi="Times New Roman"/>
          <w:sz w:val="24"/>
          <w:szCs w:val="24"/>
        </w:rPr>
        <w:t>, A.</w:t>
      </w:r>
      <w:r>
        <w:rPr>
          <w:rFonts w:ascii="Times New Roman" w:eastAsia="Calibri" w:hAnsi="Times New Roman"/>
          <w:sz w:val="24"/>
          <w:szCs w:val="24"/>
        </w:rPr>
        <w:t>,</w:t>
      </w:r>
      <w:r w:rsidR="001015B6" w:rsidRPr="00C00207">
        <w:rPr>
          <w:rFonts w:ascii="Times New Roman" w:eastAsia="Calibri" w:hAnsi="Times New Roman"/>
          <w:sz w:val="24"/>
          <w:szCs w:val="24"/>
        </w:rPr>
        <w:t xml:space="preserve"> (2012)</w:t>
      </w:r>
      <w:r>
        <w:rPr>
          <w:rFonts w:ascii="Times New Roman" w:eastAsia="Calibri" w:hAnsi="Times New Roman"/>
          <w:sz w:val="24"/>
          <w:szCs w:val="24"/>
        </w:rPr>
        <w:t>,</w:t>
      </w:r>
      <w:r w:rsidR="001015B6" w:rsidRPr="00C00207">
        <w:rPr>
          <w:rFonts w:ascii="Times New Roman" w:eastAsia="Calibri" w:hAnsi="Times New Roman"/>
          <w:sz w:val="24"/>
          <w:szCs w:val="24"/>
        </w:rPr>
        <w:t xml:space="preserve"> </w:t>
      </w:r>
      <w:r w:rsidR="001015B6" w:rsidRPr="00BE3981">
        <w:rPr>
          <w:rFonts w:ascii="Times New Roman" w:eastAsia="Calibri" w:hAnsi="Times New Roman"/>
          <w:b/>
          <w:sz w:val="24"/>
          <w:szCs w:val="24"/>
        </w:rPr>
        <w:t xml:space="preserve">ASEAN benchmarking </w:t>
      </w:r>
      <w:r w:rsidR="008E4D7F">
        <w:rPr>
          <w:rFonts w:ascii="Times New Roman" w:eastAsia="Calibri" w:hAnsi="Times New Roman"/>
          <w:b/>
          <w:sz w:val="24"/>
          <w:szCs w:val="24"/>
        </w:rPr>
        <w:t>in terms of science, technology</w:t>
      </w:r>
      <w:r w:rsidR="001015B6" w:rsidRPr="00BE3981">
        <w:rPr>
          <w:rFonts w:ascii="Times New Roman" w:eastAsia="Calibri" w:hAnsi="Times New Roman"/>
          <w:b/>
          <w:sz w:val="24"/>
          <w:szCs w:val="24"/>
        </w:rPr>
        <w:t xml:space="preserve"> and innovation from 1999 to 2009</w:t>
      </w:r>
      <w:r>
        <w:rPr>
          <w:rFonts w:ascii="Times New Roman" w:eastAsia="Calibri" w:hAnsi="Times New Roman"/>
          <w:sz w:val="24"/>
          <w:szCs w:val="24"/>
        </w:rPr>
        <w:t>,</w:t>
      </w:r>
      <w:r w:rsidR="001015B6" w:rsidRPr="00C00207">
        <w:rPr>
          <w:rFonts w:ascii="Times New Roman" w:eastAsia="Calibri" w:hAnsi="Times New Roman"/>
          <w:sz w:val="24"/>
          <w:szCs w:val="24"/>
        </w:rPr>
        <w:t xml:space="preserve"> Scientometrics, 92</w:t>
      </w:r>
      <w:r>
        <w:rPr>
          <w:rFonts w:ascii="Times New Roman" w:eastAsia="Calibri" w:hAnsi="Times New Roman"/>
          <w:sz w:val="24"/>
          <w:szCs w:val="24"/>
        </w:rPr>
        <w:t xml:space="preserve"> </w:t>
      </w:r>
      <w:r w:rsidR="001015B6" w:rsidRPr="00C00207">
        <w:rPr>
          <w:rFonts w:ascii="Times New Roman" w:eastAsia="Calibri" w:hAnsi="Times New Roman"/>
          <w:sz w:val="24"/>
          <w:szCs w:val="24"/>
        </w:rPr>
        <w:t>(3), 549-573.</w:t>
      </w:r>
    </w:p>
    <w:p w:rsidR="00BE3981" w:rsidRPr="00BE3981" w:rsidRDefault="00BE3981" w:rsidP="00BE3981">
      <w:pPr>
        <w:pStyle w:val="ListeParagraf"/>
        <w:rPr>
          <w:rFonts w:ascii="Times New Roman" w:eastAsia="Calibri" w:hAnsi="Times New Roman"/>
          <w:sz w:val="24"/>
          <w:szCs w:val="24"/>
        </w:rPr>
      </w:pPr>
    </w:p>
    <w:p w:rsidR="00E86A7A" w:rsidRDefault="00BE3981" w:rsidP="00C00207">
      <w:pPr>
        <w:pStyle w:val="ListeParagraf"/>
        <w:numPr>
          <w:ilvl w:val="0"/>
          <w:numId w:val="10"/>
        </w:numPr>
        <w:spacing w:before="60" w:after="60"/>
        <w:rPr>
          <w:rFonts w:ascii="Times New Roman" w:eastAsia="Calibri" w:hAnsi="Times New Roman"/>
          <w:sz w:val="24"/>
          <w:szCs w:val="24"/>
        </w:rPr>
      </w:pPr>
      <w:r w:rsidRPr="00C00207">
        <w:rPr>
          <w:rFonts w:ascii="Times New Roman" w:eastAsia="Calibri" w:hAnsi="Times New Roman"/>
          <w:sz w:val="24"/>
          <w:szCs w:val="24"/>
        </w:rPr>
        <w:t>ROSTAMPOUR</w:t>
      </w:r>
      <w:r w:rsidR="00B5596C" w:rsidRPr="00C00207">
        <w:rPr>
          <w:rFonts w:ascii="Times New Roman" w:eastAsia="Calibri" w:hAnsi="Times New Roman"/>
          <w:sz w:val="24"/>
          <w:szCs w:val="24"/>
        </w:rPr>
        <w:t>, S.</w:t>
      </w:r>
      <w:r>
        <w:rPr>
          <w:rFonts w:ascii="Times New Roman" w:eastAsia="Calibri" w:hAnsi="Times New Roman"/>
          <w:sz w:val="24"/>
          <w:szCs w:val="24"/>
        </w:rPr>
        <w:t>,</w:t>
      </w:r>
      <w:r w:rsidR="00B5596C" w:rsidRPr="00C00207">
        <w:rPr>
          <w:rFonts w:ascii="Times New Roman" w:eastAsia="Calibri" w:hAnsi="Times New Roman"/>
          <w:sz w:val="24"/>
          <w:szCs w:val="24"/>
        </w:rPr>
        <w:t xml:space="preserve"> </w:t>
      </w:r>
      <w:r w:rsidR="00E86A7A" w:rsidRPr="00C00207">
        <w:rPr>
          <w:rFonts w:ascii="Times New Roman" w:eastAsia="Calibri" w:hAnsi="Times New Roman"/>
          <w:sz w:val="24"/>
          <w:szCs w:val="24"/>
        </w:rPr>
        <w:t>(</w:t>
      </w:r>
      <w:r>
        <w:rPr>
          <w:rFonts w:ascii="Times New Roman" w:eastAsia="Calibri" w:hAnsi="Times New Roman"/>
          <w:sz w:val="24"/>
          <w:szCs w:val="24"/>
        </w:rPr>
        <w:t>2012),</w:t>
      </w:r>
      <w:r w:rsidR="00E86A7A" w:rsidRPr="00C00207">
        <w:rPr>
          <w:rFonts w:ascii="Times New Roman" w:eastAsia="Calibri" w:hAnsi="Times New Roman"/>
          <w:sz w:val="24"/>
          <w:szCs w:val="24"/>
        </w:rPr>
        <w:t xml:space="preserve"> </w:t>
      </w:r>
      <w:r w:rsidR="00E86A7A" w:rsidRPr="008E4D7F">
        <w:rPr>
          <w:rFonts w:ascii="Times New Roman" w:eastAsia="Calibri" w:hAnsi="Times New Roman"/>
          <w:b/>
          <w:sz w:val="24"/>
          <w:szCs w:val="24"/>
        </w:rPr>
        <w:t>“An Application of Topsis for Ranking Internet Web Browsers”</w:t>
      </w:r>
      <w:r w:rsidR="008E4D7F">
        <w:rPr>
          <w:rFonts w:ascii="Times New Roman" w:eastAsia="Calibri" w:hAnsi="Times New Roman"/>
          <w:sz w:val="24"/>
          <w:szCs w:val="24"/>
        </w:rPr>
        <w:t>,</w:t>
      </w:r>
      <w:r w:rsidR="00E86A7A" w:rsidRPr="00C00207">
        <w:rPr>
          <w:rFonts w:ascii="Times New Roman" w:eastAsia="Calibri" w:hAnsi="Times New Roman"/>
          <w:sz w:val="24"/>
          <w:szCs w:val="24"/>
        </w:rPr>
        <w:t xml:space="preserve"> </w:t>
      </w:r>
      <w:r w:rsidR="00E86A7A" w:rsidRPr="00C00207">
        <w:rPr>
          <w:rFonts w:ascii="Times New Roman" w:eastAsia="Calibri" w:hAnsi="Times New Roman"/>
          <w:i/>
          <w:sz w:val="24"/>
          <w:szCs w:val="24"/>
        </w:rPr>
        <w:t>Decision Science Letters</w:t>
      </w:r>
      <w:r w:rsidR="00E86A7A" w:rsidRPr="00C00207">
        <w:rPr>
          <w:rFonts w:ascii="Times New Roman" w:eastAsia="Calibri" w:hAnsi="Times New Roman"/>
          <w:sz w:val="24"/>
          <w:szCs w:val="24"/>
        </w:rPr>
        <w:t xml:space="preserve"> 1(2): 53-58.</w:t>
      </w:r>
    </w:p>
    <w:p w:rsidR="00BE3981" w:rsidRPr="00BE3981" w:rsidRDefault="00BE3981" w:rsidP="00BE3981">
      <w:pPr>
        <w:pStyle w:val="ListeParagraf"/>
        <w:rPr>
          <w:rFonts w:ascii="Times New Roman" w:eastAsia="Calibri" w:hAnsi="Times New Roman"/>
          <w:sz w:val="24"/>
          <w:szCs w:val="24"/>
        </w:rPr>
      </w:pPr>
    </w:p>
    <w:p w:rsidR="00042285" w:rsidRDefault="00BE3981" w:rsidP="00C00207">
      <w:pPr>
        <w:pStyle w:val="ListeParagraf"/>
        <w:numPr>
          <w:ilvl w:val="0"/>
          <w:numId w:val="10"/>
        </w:numPr>
        <w:spacing w:before="60" w:after="60"/>
        <w:rPr>
          <w:rFonts w:ascii="Times New Roman" w:eastAsia="Calibri" w:hAnsi="Times New Roman"/>
          <w:sz w:val="24"/>
          <w:szCs w:val="24"/>
        </w:rPr>
      </w:pPr>
      <w:r>
        <w:rPr>
          <w:rFonts w:ascii="Times New Roman" w:eastAsia="Calibri" w:hAnsi="Times New Roman"/>
          <w:sz w:val="24"/>
          <w:szCs w:val="24"/>
        </w:rPr>
        <w:t>SALJOUGHI</w:t>
      </w:r>
      <w:r w:rsidRPr="00C00207">
        <w:rPr>
          <w:rFonts w:ascii="Times New Roman" w:eastAsia="Calibri" w:hAnsi="Times New Roman"/>
          <w:sz w:val="24"/>
          <w:szCs w:val="24"/>
        </w:rPr>
        <w:t>AN</w:t>
      </w:r>
      <w:r w:rsidR="00042285" w:rsidRPr="00C00207">
        <w:rPr>
          <w:rFonts w:ascii="Times New Roman" w:eastAsia="Calibri" w:hAnsi="Times New Roman"/>
          <w:sz w:val="24"/>
          <w:szCs w:val="24"/>
        </w:rPr>
        <w:t xml:space="preserve">, M., </w:t>
      </w:r>
      <w:r w:rsidRPr="00C00207">
        <w:rPr>
          <w:rFonts w:ascii="Times New Roman" w:eastAsia="Calibri" w:hAnsi="Times New Roman"/>
          <w:sz w:val="24"/>
          <w:szCs w:val="24"/>
        </w:rPr>
        <w:t>GHANDEHAR</w:t>
      </w:r>
      <w:r>
        <w:rPr>
          <w:rFonts w:ascii="Times New Roman" w:eastAsia="Calibri" w:hAnsi="Times New Roman"/>
          <w:sz w:val="24"/>
          <w:szCs w:val="24"/>
        </w:rPr>
        <w:t>I</w:t>
      </w:r>
      <w:r w:rsidR="00042285" w:rsidRPr="00C00207">
        <w:rPr>
          <w:rFonts w:ascii="Times New Roman" w:eastAsia="Calibri" w:hAnsi="Times New Roman"/>
          <w:sz w:val="24"/>
          <w:szCs w:val="24"/>
        </w:rPr>
        <w:t xml:space="preserve">, M., </w:t>
      </w:r>
      <w:r>
        <w:rPr>
          <w:rFonts w:ascii="Times New Roman" w:eastAsia="Calibri" w:hAnsi="Times New Roman"/>
          <w:sz w:val="24"/>
          <w:szCs w:val="24"/>
        </w:rPr>
        <w:t>SHI</w:t>
      </w:r>
      <w:r w:rsidRPr="00C00207">
        <w:rPr>
          <w:rFonts w:ascii="Times New Roman" w:eastAsia="Calibri" w:hAnsi="Times New Roman"/>
          <w:sz w:val="24"/>
          <w:szCs w:val="24"/>
        </w:rPr>
        <w:t>ROUYEHZAD</w:t>
      </w:r>
      <w:r w:rsidR="00042285" w:rsidRPr="00C00207">
        <w:rPr>
          <w:rFonts w:ascii="Times New Roman" w:eastAsia="Calibri" w:hAnsi="Times New Roman"/>
          <w:sz w:val="24"/>
          <w:szCs w:val="24"/>
        </w:rPr>
        <w:t xml:space="preserve">, H., </w:t>
      </w:r>
      <w:r>
        <w:rPr>
          <w:rFonts w:ascii="Times New Roman" w:eastAsia="Calibri" w:hAnsi="Times New Roman"/>
          <w:sz w:val="24"/>
          <w:szCs w:val="24"/>
        </w:rPr>
        <w:t>DABESTANI</w:t>
      </w:r>
      <w:r w:rsidR="00042285" w:rsidRPr="00C00207">
        <w:rPr>
          <w:rFonts w:ascii="Times New Roman" w:eastAsia="Calibri" w:hAnsi="Times New Roman"/>
          <w:sz w:val="24"/>
          <w:szCs w:val="24"/>
        </w:rPr>
        <w:t xml:space="preserve">, R., &amp; </w:t>
      </w:r>
      <w:r>
        <w:rPr>
          <w:rFonts w:ascii="Times New Roman" w:eastAsia="Calibri" w:hAnsi="Times New Roman"/>
          <w:sz w:val="24"/>
          <w:szCs w:val="24"/>
        </w:rPr>
        <w:t>BALOUEI</w:t>
      </w:r>
      <w:r w:rsidR="00042285" w:rsidRPr="00C00207">
        <w:rPr>
          <w:rFonts w:ascii="Times New Roman" w:eastAsia="Calibri" w:hAnsi="Times New Roman"/>
          <w:sz w:val="24"/>
          <w:szCs w:val="24"/>
        </w:rPr>
        <w:t>, H.</w:t>
      </w:r>
      <w:r>
        <w:rPr>
          <w:rFonts w:ascii="Times New Roman" w:eastAsia="Calibri" w:hAnsi="Times New Roman"/>
          <w:sz w:val="24"/>
          <w:szCs w:val="24"/>
        </w:rPr>
        <w:t>, (2013),</w:t>
      </w:r>
      <w:r w:rsidR="00042285" w:rsidRPr="00C00207">
        <w:rPr>
          <w:rFonts w:ascii="Times New Roman" w:eastAsia="Calibri" w:hAnsi="Times New Roman"/>
          <w:sz w:val="24"/>
          <w:szCs w:val="24"/>
        </w:rPr>
        <w:t xml:space="preserve"> </w:t>
      </w:r>
      <w:r w:rsidR="00042285" w:rsidRPr="00BE3981">
        <w:rPr>
          <w:rFonts w:ascii="Times New Roman" w:eastAsia="Calibri" w:hAnsi="Times New Roman"/>
          <w:b/>
          <w:sz w:val="24"/>
          <w:szCs w:val="24"/>
        </w:rPr>
        <w:t>Performance Evaluation of OECD Countries by Data Envelopment analysis based on Science and Technology Factors</w:t>
      </w:r>
      <w:r>
        <w:rPr>
          <w:rFonts w:ascii="Times New Roman" w:eastAsia="Calibri" w:hAnsi="Times New Roman"/>
          <w:b/>
          <w:sz w:val="24"/>
          <w:szCs w:val="24"/>
        </w:rPr>
        <w:t>,</w:t>
      </w:r>
      <w:r w:rsidR="00042285" w:rsidRPr="00C00207">
        <w:rPr>
          <w:rFonts w:ascii="Times New Roman" w:eastAsia="Calibri" w:hAnsi="Times New Roman"/>
          <w:sz w:val="24"/>
          <w:szCs w:val="24"/>
        </w:rPr>
        <w:t xml:space="preserve"> Journal of Applied Sciences and Engineering Management, 1</w:t>
      </w:r>
      <w:r>
        <w:rPr>
          <w:rFonts w:ascii="Times New Roman" w:eastAsia="Calibri" w:hAnsi="Times New Roman"/>
          <w:sz w:val="24"/>
          <w:szCs w:val="24"/>
        </w:rPr>
        <w:t xml:space="preserve"> </w:t>
      </w:r>
      <w:r w:rsidR="00042285" w:rsidRPr="00C00207">
        <w:rPr>
          <w:rFonts w:ascii="Times New Roman" w:eastAsia="Calibri" w:hAnsi="Times New Roman"/>
          <w:sz w:val="24"/>
          <w:szCs w:val="24"/>
        </w:rPr>
        <w:t>(1), 24-35.</w:t>
      </w:r>
    </w:p>
    <w:p w:rsidR="00BE3981" w:rsidRPr="00BE3981" w:rsidRDefault="00BE3981" w:rsidP="00BE3981">
      <w:pPr>
        <w:pStyle w:val="ListeParagraf"/>
        <w:rPr>
          <w:rFonts w:ascii="Times New Roman" w:eastAsia="Calibri" w:hAnsi="Times New Roman"/>
          <w:sz w:val="24"/>
          <w:szCs w:val="24"/>
        </w:rPr>
      </w:pPr>
    </w:p>
    <w:p w:rsidR="00D46574" w:rsidRDefault="00BE3981" w:rsidP="00C00207">
      <w:pPr>
        <w:pStyle w:val="ListeParagraf"/>
        <w:numPr>
          <w:ilvl w:val="0"/>
          <w:numId w:val="10"/>
        </w:numPr>
        <w:spacing w:before="60" w:after="60"/>
        <w:rPr>
          <w:rFonts w:ascii="Times New Roman" w:eastAsia="Calibri" w:hAnsi="Times New Roman"/>
          <w:sz w:val="24"/>
          <w:szCs w:val="24"/>
        </w:rPr>
      </w:pPr>
      <w:r>
        <w:rPr>
          <w:rFonts w:ascii="Times New Roman" w:eastAsia="Calibri" w:hAnsi="Times New Roman"/>
          <w:sz w:val="24"/>
          <w:szCs w:val="24"/>
        </w:rPr>
        <w:t>SI</w:t>
      </w:r>
      <w:r w:rsidRPr="00C00207">
        <w:rPr>
          <w:rFonts w:ascii="Times New Roman" w:eastAsia="Calibri" w:hAnsi="Times New Roman"/>
          <w:sz w:val="24"/>
          <w:szCs w:val="24"/>
        </w:rPr>
        <w:t>YANBOLA</w:t>
      </w:r>
      <w:r w:rsidR="00D46574" w:rsidRPr="00C00207">
        <w:rPr>
          <w:rFonts w:ascii="Times New Roman" w:eastAsia="Calibri" w:hAnsi="Times New Roman"/>
          <w:sz w:val="24"/>
          <w:szCs w:val="24"/>
        </w:rPr>
        <w:t xml:space="preserve">, W., </w:t>
      </w:r>
      <w:r w:rsidRPr="00C00207">
        <w:rPr>
          <w:rFonts w:ascii="Times New Roman" w:eastAsia="Calibri" w:hAnsi="Times New Roman"/>
          <w:sz w:val="24"/>
          <w:szCs w:val="24"/>
        </w:rPr>
        <w:t>ADEYEYE</w:t>
      </w:r>
      <w:r w:rsidR="00D46574" w:rsidRPr="00C00207">
        <w:rPr>
          <w:rFonts w:ascii="Times New Roman" w:eastAsia="Calibri" w:hAnsi="Times New Roman"/>
          <w:sz w:val="24"/>
          <w:szCs w:val="24"/>
        </w:rPr>
        <w:t xml:space="preserve">, A., </w:t>
      </w:r>
      <w:r w:rsidRPr="00C00207">
        <w:rPr>
          <w:rFonts w:ascii="Times New Roman" w:eastAsia="Calibri" w:hAnsi="Times New Roman"/>
          <w:sz w:val="24"/>
          <w:szCs w:val="24"/>
        </w:rPr>
        <w:t>OLAOPA</w:t>
      </w:r>
      <w:r w:rsidR="00D46574" w:rsidRPr="00C00207">
        <w:rPr>
          <w:rFonts w:ascii="Times New Roman" w:eastAsia="Calibri" w:hAnsi="Times New Roman"/>
          <w:sz w:val="24"/>
          <w:szCs w:val="24"/>
        </w:rPr>
        <w:t xml:space="preserve">, O., &amp; </w:t>
      </w:r>
      <w:r w:rsidRPr="00C00207">
        <w:rPr>
          <w:rFonts w:ascii="Times New Roman" w:eastAsia="Calibri" w:hAnsi="Times New Roman"/>
          <w:sz w:val="24"/>
          <w:szCs w:val="24"/>
        </w:rPr>
        <w:t>HASSAN</w:t>
      </w:r>
      <w:r w:rsidR="00D46574" w:rsidRPr="00C00207">
        <w:rPr>
          <w:rFonts w:ascii="Times New Roman" w:eastAsia="Calibri" w:hAnsi="Times New Roman"/>
          <w:sz w:val="24"/>
          <w:szCs w:val="24"/>
        </w:rPr>
        <w:t>, O.</w:t>
      </w:r>
      <w:r>
        <w:rPr>
          <w:rFonts w:ascii="Times New Roman" w:eastAsia="Calibri" w:hAnsi="Times New Roman"/>
          <w:sz w:val="24"/>
          <w:szCs w:val="24"/>
        </w:rPr>
        <w:t>,</w:t>
      </w:r>
      <w:r w:rsidR="00D46574" w:rsidRPr="00C00207">
        <w:rPr>
          <w:rFonts w:ascii="Times New Roman" w:eastAsia="Calibri" w:hAnsi="Times New Roman"/>
          <w:sz w:val="24"/>
          <w:szCs w:val="24"/>
        </w:rPr>
        <w:t xml:space="preserve"> (2016)</w:t>
      </w:r>
      <w:r>
        <w:rPr>
          <w:rFonts w:ascii="Times New Roman" w:eastAsia="Calibri" w:hAnsi="Times New Roman"/>
          <w:sz w:val="24"/>
          <w:szCs w:val="24"/>
        </w:rPr>
        <w:t>,</w:t>
      </w:r>
      <w:r w:rsidR="00D46574" w:rsidRPr="00C00207">
        <w:rPr>
          <w:rFonts w:ascii="Times New Roman" w:eastAsia="Calibri" w:hAnsi="Times New Roman"/>
          <w:sz w:val="24"/>
          <w:szCs w:val="24"/>
        </w:rPr>
        <w:t xml:space="preserve"> </w:t>
      </w:r>
      <w:r w:rsidR="00D46574" w:rsidRPr="00BE3981">
        <w:rPr>
          <w:rFonts w:ascii="Times New Roman" w:eastAsia="Calibri" w:hAnsi="Times New Roman"/>
          <w:b/>
          <w:sz w:val="24"/>
          <w:szCs w:val="24"/>
        </w:rPr>
        <w:t>Science, technology and innovatio</w:t>
      </w:r>
      <w:r>
        <w:rPr>
          <w:rFonts w:ascii="Times New Roman" w:eastAsia="Calibri" w:hAnsi="Times New Roman"/>
          <w:b/>
          <w:sz w:val="24"/>
          <w:szCs w:val="24"/>
        </w:rPr>
        <w:t>n indicators in policy-making: T</w:t>
      </w:r>
      <w:r w:rsidR="00D46574" w:rsidRPr="00BE3981">
        <w:rPr>
          <w:rFonts w:ascii="Times New Roman" w:eastAsia="Calibri" w:hAnsi="Times New Roman"/>
          <w:b/>
          <w:sz w:val="24"/>
          <w:szCs w:val="24"/>
        </w:rPr>
        <w:t>he Nigerian experience</w:t>
      </w:r>
      <w:r w:rsidR="00774169">
        <w:rPr>
          <w:rFonts w:ascii="Times New Roman" w:eastAsia="Calibri" w:hAnsi="Times New Roman"/>
          <w:sz w:val="24"/>
          <w:szCs w:val="24"/>
        </w:rPr>
        <w:t>,</w:t>
      </w:r>
      <w:r w:rsidR="00E52DB3" w:rsidRPr="00C00207">
        <w:rPr>
          <w:rFonts w:ascii="Times New Roman" w:hAnsi="Times New Roman"/>
          <w:sz w:val="24"/>
          <w:szCs w:val="24"/>
        </w:rPr>
        <w:t xml:space="preserve"> </w:t>
      </w:r>
      <w:r w:rsidR="00E52DB3" w:rsidRPr="00C00207">
        <w:rPr>
          <w:rFonts w:ascii="Times New Roman" w:eastAsia="Calibri" w:hAnsi="Times New Roman"/>
          <w:sz w:val="24"/>
          <w:szCs w:val="24"/>
        </w:rPr>
        <w:t xml:space="preserve">Palgrave Communications, </w:t>
      </w:r>
      <w:r w:rsidR="001F342D" w:rsidRPr="00C00207">
        <w:rPr>
          <w:rFonts w:ascii="Times New Roman" w:eastAsia="Calibri" w:hAnsi="Times New Roman"/>
          <w:sz w:val="24"/>
          <w:szCs w:val="24"/>
        </w:rPr>
        <w:t>2</w:t>
      </w:r>
      <w:r w:rsidR="00212213" w:rsidRPr="00C00207">
        <w:rPr>
          <w:rFonts w:ascii="Times New Roman" w:eastAsia="Calibri" w:hAnsi="Times New Roman"/>
          <w:sz w:val="24"/>
          <w:szCs w:val="24"/>
        </w:rPr>
        <w:t xml:space="preserve"> (16015</w:t>
      </w:r>
      <w:r w:rsidR="006E212B" w:rsidRPr="00C00207">
        <w:rPr>
          <w:rFonts w:ascii="Times New Roman" w:eastAsia="Calibri" w:hAnsi="Times New Roman"/>
          <w:sz w:val="24"/>
          <w:szCs w:val="24"/>
        </w:rPr>
        <w:t>)</w:t>
      </w:r>
      <w:r w:rsidR="001F342D" w:rsidRPr="00C00207">
        <w:rPr>
          <w:rFonts w:ascii="Times New Roman" w:eastAsia="Calibri" w:hAnsi="Times New Roman"/>
          <w:sz w:val="24"/>
          <w:szCs w:val="24"/>
        </w:rPr>
        <w:t xml:space="preserve">, </w:t>
      </w:r>
      <w:r w:rsidR="00E52DB3" w:rsidRPr="00C00207">
        <w:rPr>
          <w:rFonts w:ascii="Times New Roman" w:eastAsia="Calibri" w:hAnsi="Times New Roman"/>
          <w:sz w:val="24"/>
          <w:szCs w:val="24"/>
        </w:rPr>
        <w:t>1-9.</w:t>
      </w:r>
    </w:p>
    <w:p w:rsidR="00BE3981" w:rsidRPr="00BE3981" w:rsidRDefault="00BE3981" w:rsidP="00BE3981">
      <w:pPr>
        <w:pStyle w:val="ListeParagraf"/>
        <w:rPr>
          <w:rFonts w:ascii="Times New Roman" w:eastAsia="Calibri" w:hAnsi="Times New Roman"/>
          <w:sz w:val="24"/>
          <w:szCs w:val="24"/>
        </w:rPr>
      </w:pPr>
    </w:p>
    <w:p w:rsidR="00632F1D" w:rsidRDefault="00BE3981" w:rsidP="00C00207">
      <w:pPr>
        <w:pStyle w:val="ListeParagraf"/>
        <w:numPr>
          <w:ilvl w:val="0"/>
          <w:numId w:val="10"/>
        </w:numPr>
        <w:spacing w:before="60" w:after="60"/>
        <w:rPr>
          <w:rFonts w:ascii="Times New Roman" w:eastAsia="Calibri" w:hAnsi="Times New Roman"/>
          <w:sz w:val="24"/>
          <w:szCs w:val="24"/>
        </w:rPr>
      </w:pPr>
      <w:r w:rsidRPr="00C00207">
        <w:rPr>
          <w:rFonts w:ascii="Times New Roman" w:eastAsia="Calibri" w:hAnsi="Times New Roman"/>
          <w:sz w:val="24"/>
          <w:szCs w:val="24"/>
        </w:rPr>
        <w:t>ŞENER</w:t>
      </w:r>
      <w:r w:rsidR="00632F1D" w:rsidRPr="00C00207">
        <w:rPr>
          <w:rFonts w:ascii="Times New Roman" w:eastAsia="Calibri" w:hAnsi="Times New Roman"/>
          <w:sz w:val="24"/>
          <w:szCs w:val="24"/>
        </w:rPr>
        <w:t xml:space="preserve">, S., &amp; </w:t>
      </w:r>
      <w:r w:rsidRPr="00C00207">
        <w:rPr>
          <w:rFonts w:ascii="Times New Roman" w:eastAsia="Calibri" w:hAnsi="Times New Roman"/>
          <w:sz w:val="24"/>
          <w:szCs w:val="24"/>
        </w:rPr>
        <w:t>SARIDOĞAN</w:t>
      </w:r>
      <w:r w:rsidR="00632F1D" w:rsidRPr="00C00207">
        <w:rPr>
          <w:rFonts w:ascii="Times New Roman" w:eastAsia="Calibri" w:hAnsi="Times New Roman"/>
          <w:sz w:val="24"/>
          <w:szCs w:val="24"/>
        </w:rPr>
        <w:t>, E.</w:t>
      </w:r>
      <w:r>
        <w:rPr>
          <w:rFonts w:ascii="Times New Roman" w:eastAsia="Calibri" w:hAnsi="Times New Roman"/>
          <w:sz w:val="24"/>
          <w:szCs w:val="24"/>
        </w:rPr>
        <w:t>,</w:t>
      </w:r>
      <w:r w:rsidR="00632F1D" w:rsidRPr="00C00207">
        <w:rPr>
          <w:rFonts w:ascii="Times New Roman" w:eastAsia="Calibri" w:hAnsi="Times New Roman"/>
          <w:sz w:val="24"/>
          <w:szCs w:val="24"/>
        </w:rPr>
        <w:t xml:space="preserve"> (2011)</w:t>
      </w:r>
      <w:r>
        <w:rPr>
          <w:rFonts w:ascii="Times New Roman" w:eastAsia="Calibri" w:hAnsi="Times New Roman"/>
          <w:sz w:val="24"/>
          <w:szCs w:val="24"/>
        </w:rPr>
        <w:t>,</w:t>
      </w:r>
      <w:r w:rsidR="00632F1D" w:rsidRPr="00C00207">
        <w:rPr>
          <w:rFonts w:ascii="Times New Roman" w:eastAsia="Calibri" w:hAnsi="Times New Roman"/>
          <w:sz w:val="24"/>
          <w:szCs w:val="24"/>
        </w:rPr>
        <w:t xml:space="preserve"> </w:t>
      </w:r>
      <w:r w:rsidR="00632F1D" w:rsidRPr="00BE3981">
        <w:rPr>
          <w:rFonts w:ascii="Times New Roman" w:eastAsia="Calibri" w:hAnsi="Times New Roman"/>
          <w:b/>
          <w:sz w:val="24"/>
          <w:szCs w:val="24"/>
        </w:rPr>
        <w:t>The effects of science-technology-innovation on competitiveness and economic growth</w:t>
      </w:r>
      <w:r>
        <w:rPr>
          <w:rFonts w:ascii="Times New Roman" w:eastAsia="Calibri" w:hAnsi="Times New Roman"/>
          <w:sz w:val="24"/>
          <w:szCs w:val="24"/>
        </w:rPr>
        <w:t>,</w:t>
      </w:r>
      <w:r w:rsidR="00632F1D" w:rsidRPr="00C00207">
        <w:rPr>
          <w:rFonts w:ascii="Times New Roman" w:eastAsia="Calibri" w:hAnsi="Times New Roman"/>
          <w:sz w:val="24"/>
          <w:szCs w:val="24"/>
        </w:rPr>
        <w:t xml:space="preserve"> Procedia-Social and Behavioral Sciences, 24, 815-828.</w:t>
      </w:r>
    </w:p>
    <w:p w:rsidR="00BE3981" w:rsidRPr="00BE3981" w:rsidRDefault="00BE3981" w:rsidP="00BE3981">
      <w:pPr>
        <w:pStyle w:val="ListeParagraf"/>
        <w:rPr>
          <w:rFonts w:ascii="Times New Roman" w:eastAsia="Calibri" w:hAnsi="Times New Roman"/>
          <w:sz w:val="24"/>
          <w:szCs w:val="24"/>
        </w:rPr>
      </w:pPr>
    </w:p>
    <w:p w:rsidR="00603EBC" w:rsidRDefault="00BE3981" w:rsidP="00C00207">
      <w:pPr>
        <w:pStyle w:val="ListeParagraf"/>
        <w:numPr>
          <w:ilvl w:val="0"/>
          <w:numId w:val="10"/>
        </w:numPr>
        <w:spacing w:before="60" w:after="60"/>
        <w:rPr>
          <w:rFonts w:ascii="Times New Roman" w:hAnsi="Times New Roman"/>
          <w:sz w:val="24"/>
          <w:szCs w:val="24"/>
        </w:rPr>
      </w:pPr>
      <w:r w:rsidRPr="00C00207">
        <w:rPr>
          <w:rFonts w:ascii="Times New Roman" w:eastAsia="Calibri" w:hAnsi="Times New Roman"/>
          <w:sz w:val="24"/>
          <w:szCs w:val="24"/>
        </w:rPr>
        <w:t>THE</w:t>
      </w:r>
      <w:r w:rsidRPr="00C00207">
        <w:rPr>
          <w:rFonts w:ascii="Times New Roman" w:hAnsi="Times New Roman"/>
          <w:sz w:val="24"/>
          <w:szCs w:val="24"/>
        </w:rPr>
        <w:t xml:space="preserve"> WORLD BANK</w:t>
      </w:r>
      <w:r>
        <w:rPr>
          <w:rFonts w:ascii="Times New Roman" w:hAnsi="Times New Roman"/>
          <w:sz w:val="24"/>
          <w:szCs w:val="24"/>
        </w:rPr>
        <w:t>,</w:t>
      </w:r>
      <w:r w:rsidR="00372F07" w:rsidRPr="00C00207">
        <w:rPr>
          <w:rFonts w:ascii="Times New Roman" w:hAnsi="Times New Roman"/>
          <w:sz w:val="24"/>
          <w:szCs w:val="24"/>
        </w:rPr>
        <w:t xml:space="preserve"> </w:t>
      </w:r>
      <w:hyperlink r:id="rId44" w:history="1">
        <w:r w:rsidR="00372F07" w:rsidRPr="00C00207">
          <w:rPr>
            <w:rFonts w:ascii="Times New Roman" w:hAnsi="Times New Roman"/>
            <w:sz w:val="24"/>
            <w:szCs w:val="24"/>
          </w:rPr>
          <w:t>https://data.worldbank.org/topic/science-and-technology</w:t>
        </w:r>
      </w:hyperlink>
      <w:r w:rsidR="00372F07" w:rsidRPr="00C00207">
        <w:rPr>
          <w:rFonts w:ascii="Times New Roman" w:hAnsi="Times New Roman"/>
          <w:sz w:val="24"/>
          <w:szCs w:val="24"/>
        </w:rPr>
        <w:t>, (</w:t>
      </w:r>
      <w:r>
        <w:rPr>
          <w:rFonts w:ascii="Times New Roman" w:hAnsi="Times New Roman"/>
          <w:sz w:val="24"/>
          <w:szCs w:val="24"/>
        </w:rPr>
        <w:t xml:space="preserve">Erişim Tarihi: </w:t>
      </w:r>
      <w:r w:rsidR="00372F07" w:rsidRPr="00C00207">
        <w:rPr>
          <w:rFonts w:ascii="Times New Roman" w:hAnsi="Times New Roman"/>
          <w:sz w:val="24"/>
          <w:szCs w:val="24"/>
        </w:rPr>
        <w:t>15.09.2017)</w:t>
      </w:r>
      <w:r w:rsidR="006D6F93" w:rsidRPr="00C00207">
        <w:rPr>
          <w:rFonts w:ascii="Times New Roman" w:hAnsi="Times New Roman"/>
          <w:sz w:val="24"/>
          <w:szCs w:val="24"/>
        </w:rPr>
        <w:t>.</w:t>
      </w:r>
    </w:p>
    <w:p w:rsidR="00320821" w:rsidRPr="00320821" w:rsidRDefault="00320821" w:rsidP="00320821">
      <w:pPr>
        <w:pStyle w:val="ListeParagraf"/>
        <w:rPr>
          <w:rFonts w:ascii="Times New Roman" w:hAnsi="Times New Roman"/>
          <w:sz w:val="24"/>
          <w:szCs w:val="24"/>
        </w:rPr>
      </w:pPr>
    </w:p>
    <w:p w:rsidR="00320821" w:rsidRPr="00C00207" w:rsidRDefault="00320821" w:rsidP="00320821">
      <w:pPr>
        <w:pStyle w:val="ListeParagraf"/>
        <w:spacing w:before="60" w:after="60"/>
        <w:rPr>
          <w:rFonts w:ascii="Times New Roman" w:hAnsi="Times New Roman"/>
          <w:sz w:val="24"/>
          <w:szCs w:val="24"/>
        </w:rPr>
      </w:pPr>
    </w:p>
    <w:p w:rsidR="005132E5" w:rsidRDefault="00320821" w:rsidP="00C00207">
      <w:pPr>
        <w:pStyle w:val="ListeParagraf"/>
        <w:numPr>
          <w:ilvl w:val="0"/>
          <w:numId w:val="10"/>
        </w:numPr>
        <w:spacing w:before="60" w:after="60"/>
        <w:rPr>
          <w:rFonts w:ascii="Times New Roman" w:hAnsi="Times New Roman"/>
          <w:sz w:val="24"/>
          <w:szCs w:val="24"/>
        </w:rPr>
      </w:pPr>
      <w:r>
        <w:rPr>
          <w:rFonts w:ascii="Times New Roman" w:hAnsi="Times New Roman"/>
          <w:sz w:val="24"/>
          <w:szCs w:val="24"/>
        </w:rPr>
        <w:t>TÜİK,</w:t>
      </w:r>
      <w:r w:rsidR="005132E5" w:rsidRPr="00C00207">
        <w:rPr>
          <w:rFonts w:ascii="Times New Roman" w:hAnsi="Times New Roman"/>
          <w:sz w:val="24"/>
          <w:szCs w:val="24"/>
        </w:rPr>
        <w:t xml:space="preserve"> </w:t>
      </w:r>
      <w:hyperlink r:id="rId45" w:history="1">
        <w:r w:rsidR="005132E5" w:rsidRPr="00C00207">
          <w:rPr>
            <w:rStyle w:val="Kpr"/>
            <w:rFonts w:ascii="Times New Roman" w:hAnsi="Times New Roman"/>
            <w:sz w:val="24"/>
            <w:szCs w:val="24"/>
          </w:rPr>
          <w:t>http://www.tuik.gov.tr/UstMenu.do?metod=istendeks</w:t>
        </w:r>
      </w:hyperlink>
      <w:r w:rsidR="005132E5" w:rsidRPr="00C00207">
        <w:rPr>
          <w:rFonts w:ascii="Times New Roman" w:hAnsi="Times New Roman"/>
          <w:sz w:val="24"/>
          <w:szCs w:val="24"/>
        </w:rPr>
        <w:t>, (</w:t>
      </w:r>
      <w:r>
        <w:rPr>
          <w:rFonts w:ascii="Times New Roman" w:hAnsi="Times New Roman"/>
          <w:sz w:val="24"/>
          <w:szCs w:val="24"/>
        </w:rPr>
        <w:t xml:space="preserve">Erişim Tarihi: </w:t>
      </w:r>
      <w:r w:rsidR="005132E5" w:rsidRPr="00C00207">
        <w:rPr>
          <w:rFonts w:ascii="Times New Roman" w:hAnsi="Times New Roman"/>
          <w:sz w:val="24"/>
          <w:szCs w:val="24"/>
        </w:rPr>
        <w:t>09.02.2018).</w:t>
      </w:r>
    </w:p>
    <w:p w:rsidR="00320821" w:rsidRPr="00C00207" w:rsidRDefault="00320821" w:rsidP="00320821">
      <w:pPr>
        <w:pStyle w:val="ListeParagraf"/>
        <w:spacing w:before="60" w:after="60"/>
        <w:rPr>
          <w:rFonts w:ascii="Times New Roman" w:hAnsi="Times New Roman"/>
          <w:sz w:val="24"/>
          <w:szCs w:val="24"/>
        </w:rPr>
      </w:pPr>
    </w:p>
    <w:p w:rsidR="00694CAE" w:rsidRDefault="00320821" w:rsidP="00C00207">
      <w:pPr>
        <w:pStyle w:val="ListeParagraf"/>
        <w:numPr>
          <w:ilvl w:val="0"/>
          <w:numId w:val="10"/>
        </w:numPr>
        <w:spacing w:before="60" w:after="60"/>
        <w:rPr>
          <w:rFonts w:ascii="Times New Roman" w:eastAsia="Calibri" w:hAnsi="Times New Roman"/>
          <w:sz w:val="24"/>
          <w:szCs w:val="24"/>
        </w:rPr>
      </w:pPr>
      <w:r w:rsidRPr="00C00207">
        <w:rPr>
          <w:rFonts w:ascii="Times New Roman" w:eastAsia="Calibri" w:hAnsi="Times New Roman"/>
          <w:sz w:val="24"/>
          <w:szCs w:val="24"/>
        </w:rPr>
        <w:t>WANKE</w:t>
      </w:r>
      <w:r w:rsidR="003A3D50" w:rsidRPr="00C00207">
        <w:rPr>
          <w:rFonts w:ascii="Times New Roman" w:eastAsia="Calibri" w:hAnsi="Times New Roman"/>
          <w:sz w:val="24"/>
          <w:szCs w:val="24"/>
        </w:rPr>
        <w:t>, P.</w:t>
      </w:r>
      <w:r w:rsidR="00694CAE" w:rsidRPr="00C00207">
        <w:rPr>
          <w:rFonts w:ascii="Times New Roman" w:eastAsia="Calibri" w:hAnsi="Times New Roman"/>
          <w:sz w:val="24"/>
          <w:szCs w:val="24"/>
        </w:rPr>
        <w:t xml:space="preserve">, </w:t>
      </w:r>
      <w:r w:rsidRPr="00C00207">
        <w:rPr>
          <w:rFonts w:ascii="Times New Roman" w:eastAsia="Calibri" w:hAnsi="Times New Roman"/>
          <w:sz w:val="24"/>
          <w:szCs w:val="24"/>
        </w:rPr>
        <w:t>BARROS</w:t>
      </w:r>
      <w:r w:rsidR="003A3D50" w:rsidRPr="00C00207">
        <w:rPr>
          <w:rFonts w:ascii="Times New Roman" w:eastAsia="Calibri" w:hAnsi="Times New Roman"/>
          <w:sz w:val="24"/>
          <w:szCs w:val="24"/>
        </w:rPr>
        <w:t>, C.</w:t>
      </w:r>
      <w:r w:rsidR="00694CAE" w:rsidRPr="00C00207">
        <w:rPr>
          <w:rFonts w:ascii="Times New Roman" w:eastAsia="Calibri" w:hAnsi="Times New Roman"/>
          <w:sz w:val="24"/>
          <w:szCs w:val="24"/>
        </w:rPr>
        <w:t xml:space="preserve"> </w:t>
      </w:r>
      <w:r w:rsidR="00B5596C" w:rsidRPr="00C00207">
        <w:rPr>
          <w:rFonts w:ascii="Times New Roman" w:hAnsi="Times New Roman"/>
          <w:sz w:val="24"/>
          <w:szCs w:val="24"/>
        </w:rPr>
        <w:t>&amp;</w:t>
      </w:r>
      <w:r w:rsidR="00694CAE" w:rsidRPr="00C00207">
        <w:rPr>
          <w:rFonts w:ascii="Times New Roman" w:eastAsia="Calibri" w:hAnsi="Times New Roman"/>
          <w:sz w:val="24"/>
          <w:szCs w:val="24"/>
        </w:rPr>
        <w:t xml:space="preserve"> </w:t>
      </w:r>
      <w:r w:rsidRPr="00C00207">
        <w:rPr>
          <w:rFonts w:ascii="Times New Roman" w:eastAsia="Calibri" w:hAnsi="Times New Roman"/>
          <w:sz w:val="24"/>
          <w:szCs w:val="24"/>
        </w:rPr>
        <w:t>CHEN</w:t>
      </w:r>
      <w:r w:rsidR="003A3D50" w:rsidRPr="00C00207">
        <w:rPr>
          <w:rFonts w:ascii="Times New Roman" w:eastAsia="Calibri" w:hAnsi="Times New Roman"/>
          <w:sz w:val="24"/>
          <w:szCs w:val="24"/>
        </w:rPr>
        <w:t>, Z.</w:t>
      </w:r>
      <w:r>
        <w:rPr>
          <w:rFonts w:ascii="Times New Roman" w:eastAsia="Calibri" w:hAnsi="Times New Roman"/>
          <w:sz w:val="24"/>
          <w:szCs w:val="24"/>
        </w:rPr>
        <w:t>,</w:t>
      </w:r>
      <w:r w:rsidR="006318BE" w:rsidRPr="00C00207">
        <w:rPr>
          <w:rFonts w:ascii="Times New Roman" w:eastAsia="Calibri" w:hAnsi="Times New Roman"/>
          <w:sz w:val="24"/>
          <w:szCs w:val="24"/>
        </w:rPr>
        <w:t xml:space="preserve"> </w:t>
      </w:r>
      <w:r w:rsidR="00694CAE" w:rsidRPr="00C00207">
        <w:rPr>
          <w:rFonts w:ascii="Times New Roman" w:eastAsia="Calibri" w:hAnsi="Times New Roman"/>
          <w:sz w:val="24"/>
          <w:szCs w:val="24"/>
        </w:rPr>
        <w:t>(2015)</w:t>
      </w:r>
      <w:r>
        <w:rPr>
          <w:rFonts w:ascii="Times New Roman" w:eastAsia="Calibri" w:hAnsi="Times New Roman"/>
          <w:sz w:val="24"/>
          <w:szCs w:val="24"/>
        </w:rPr>
        <w:t>,</w:t>
      </w:r>
      <w:r w:rsidR="00694CAE" w:rsidRPr="00C00207">
        <w:rPr>
          <w:rFonts w:ascii="Times New Roman" w:eastAsia="Calibri" w:hAnsi="Times New Roman"/>
          <w:sz w:val="24"/>
          <w:szCs w:val="24"/>
        </w:rPr>
        <w:t xml:space="preserve"> </w:t>
      </w:r>
      <w:r w:rsidR="00694CAE" w:rsidRPr="00320821">
        <w:rPr>
          <w:rFonts w:ascii="Times New Roman" w:eastAsia="Calibri" w:hAnsi="Times New Roman"/>
          <w:b/>
          <w:sz w:val="24"/>
          <w:szCs w:val="24"/>
        </w:rPr>
        <w:t>“</w:t>
      </w:r>
      <w:r w:rsidR="006318BE" w:rsidRPr="00320821">
        <w:rPr>
          <w:rFonts w:ascii="Times New Roman" w:eastAsia="Calibri" w:hAnsi="Times New Roman"/>
          <w:b/>
          <w:sz w:val="24"/>
          <w:szCs w:val="24"/>
        </w:rPr>
        <w:t>An analysis of Asian airlines efficiency with two-stage Topsis and MCMC generalized linear mixed models</w:t>
      </w:r>
      <w:r w:rsidR="00694CAE" w:rsidRPr="00320821">
        <w:rPr>
          <w:rFonts w:ascii="Times New Roman" w:eastAsia="Calibri" w:hAnsi="Times New Roman"/>
          <w:b/>
          <w:sz w:val="24"/>
          <w:szCs w:val="24"/>
        </w:rPr>
        <w:t>”</w:t>
      </w:r>
      <w:r>
        <w:rPr>
          <w:rFonts w:ascii="Times New Roman" w:eastAsia="Calibri" w:hAnsi="Times New Roman"/>
          <w:sz w:val="24"/>
          <w:szCs w:val="24"/>
        </w:rPr>
        <w:t>,</w:t>
      </w:r>
      <w:r w:rsidR="00694CAE" w:rsidRPr="00C00207">
        <w:rPr>
          <w:rFonts w:ascii="Times New Roman" w:eastAsia="Calibri" w:hAnsi="Times New Roman"/>
          <w:sz w:val="24"/>
          <w:szCs w:val="24"/>
        </w:rPr>
        <w:t xml:space="preserve"> </w:t>
      </w:r>
      <w:r w:rsidR="00694CAE" w:rsidRPr="00C00207">
        <w:rPr>
          <w:rFonts w:ascii="Times New Roman" w:eastAsia="Calibri" w:hAnsi="Times New Roman"/>
          <w:i/>
          <w:sz w:val="24"/>
          <w:szCs w:val="24"/>
        </w:rPr>
        <w:t>International Journal of Production Economics</w:t>
      </w:r>
      <w:r w:rsidR="006318BE" w:rsidRPr="00C00207">
        <w:rPr>
          <w:rFonts w:ascii="Times New Roman" w:eastAsia="Calibri" w:hAnsi="Times New Roman"/>
          <w:sz w:val="24"/>
          <w:szCs w:val="24"/>
        </w:rPr>
        <w:t>,</w:t>
      </w:r>
      <w:r w:rsidR="00694CAE" w:rsidRPr="00C00207">
        <w:rPr>
          <w:rFonts w:ascii="Times New Roman" w:eastAsia="Calibri" w:hAnsi="Times New Roman"/>
          <w:sz w:val="24"/>
          <w:szCs w:val="24"/>
        </w:rPr>
        <w:t xml:space="preserve"> 169: 110-126.</w:t>
      </w:r>
    </w:p>
    <w:p w:rsidR="00320821" w:rsidRPr="00320821" w:rsidRDefault="00320821" w:rsidP="00320821">
      <w:pPr>
        <w:pStyle w:val="ListeParagraf"/>
        <w:rPr>
          <w:rFonts w:ascii="Times New Roman" w:eastAsia="Calibri" w:hAnsi="Times New Roman"/>
          <w:sz w:val="24"/>
          <w:szCs w:val="24"/>
        </w:rPr>
      </w:pPr>
    </w:p>
    <w:p w:rsidR="00ED046A" w:rsidRDefault="002D6B8F" w:rsidP="00C00207">
      <w:pPr>
        <w:pStyle w:val="ListeParagraf"/>
        <w:numPr>
          <w:ilvl w:val="0"/>
          <w:numId w:val="10"/>
        </w:numPr>
        <w:spacing w:before="60" w:after="60"/>
        <w:rPr>
          <w:rFonts w:ascii="Times New Roman" w:eastAsia="Calibri" w:hAnsi="Times New Roman"/>
          <w:sz w:val="24"/>
          <w:szCs w:val="24"/>
        </w:rPr>
      </w:pPr>
      <w:hyperlink r:id="rId46" w:history="1">
        <w:r w:rsidR="008E4D7F" w:rsidRPr="00C00207">
          <w:rPr>
            <w:rFonts w:ascii="Times New Roman" w:eastAsia="Calibri" w:hAnsi="Times New Roman"/>
            <w:sz w:val="24"/>
            <w:szCs w:val="24"/>
          </w:rPr>
          <w:t>WATSON</w:t>
        </w:r>
        <w:r w:rsidR="000725DA" w:rsidRPr="00C00207">
          <w:rPr>
            <w:rFonts w:ascii="Times New Roman" w:eastAsia="Calibri" w:hAnsi="Times New Roman"/>
            <w:sz w:val="24"/>
            <w:szCs w:val="24"/>
          </w:rPr>
          <w:t>, R</w:t>
        </w:r>
      </w:hyperlink>
      <w:r w:rsidR="000725DA" w:rsidRPr="00C00207">
        <w:rPr>
          <w:rFonts w:ascii="Times New Roman" w:eastAsia="Calibri" w:hAnsi="Times New Roman"/>
          <w:sz w:val="24"/>
          <w:szCs w:val="24"/>
        </w:rPr>
        <w:t xml:space="preserve">., </w:t>
      </w:r>
      <w:hyperlink r:id="rId47" w:history="1">
        <w:r w:rsidR="008E4D7F" w:rsidRPr="00C00207">
          <w:rPr>
            <w:rFonts w:ascii="Times New Roman" w:eastAsia="Calibri" w:hAnsi="Times New Roman"/>
            <w:sz w:val="24"/>
            <w:szCs w:val="24"/>
          </w:rPr>
          <w:t>CRAWFORD</w:t>
        </w:r>
        <w:r w:rsidR="000725DA" w:rsidRPr="00C00207">
          <w:rPr>
            <w:rFonts w:ascii="Times New Roman" w:eastAsia="Calibri" w:hAnsi="Times New Roman"/>
            <w:sz w:val="24"/>
            <w:szCs w:val="24"/>
          </w:rPr>
          <w:t>, M</w:t>
        </w:r>
      </w:hyperlink>
      <w:r w:rsidR="000725DA" w:rsidRPr="00C00207">
        <w:rPr>
          <w:rFonts w:ascii="Times New Roman" w:eastAsia="Calibri" w:hAnsi="Times New Roman"/>
          <w:sz w:val="24"/>
          <w:szCs w:val="24"/>
        </w:rPr>
        <w:t xml:space="preserve">. </w:t>
      </w:r>
      <w:r w:rsidR="000725DA" w:rsidRPr="00C00207">
        <w:rPr>
          <w:rFonts w:ascii="Times New Roman" w:hAnsi="Times New Roman"/>
          <w:sz w:val="24"/>
          <w:szCs w:val="24"/>
        </w:rPr>
        <w:t xml:space="preserve">&amp; </w:t>
      </w:r>
      <w:hyperlink r:id="rId48" w:history="1">
        <w:r w:rsidR="008E4D7F" w:rsidRPr="00C00207">
          <w:rPr>
            <w:rFonts w:ascii="Times New Roman" w:eastAsia="Calibri" w:hAnsi="Times New Roman"/>
            <w:sz w:val="24"/>
            <w:szCs w:val="24"/>
          </w:rPr>
          <w:t>FARLEY</w:t>
        </w:r>
        <w:r w:rsidR="000725DA" w:rsidRPr="00C00207">
          <w:rPr>
            <w:rFonts w:ascii="Times New Roman" w:eastAsia="Calibri" w:hAnsi="Times New Roman"/>
            <w:sz w:val="24"/>
            <w:szCs w:val="24"/>
          </w:rPr>
          <w:t>, S</w:t>
        </w:r>
      </w:hyperlink>
      <w:r w:rsidR="000725DA" w:rsidRPr="00C00207">
        <w:rPr>
          <w:rFonts w:ascii="Times New Roman" w:eastAsia="Calibri" w:hAnsi="Times New Roman"/>
          <w:sz w:val="24"/>
          <w:szCs w:val="24"/>
        </w:rPr>
        <w:t>.</w:t>
      </w:r>
      <w:r w:rsidR="008E4D7F">
        <w:rPr>
          <w:rFonts w:ascii="Times New Roman" w:eastAsia="Calibri" w:hAnsi="Times New Roman"/>
          <w:sz w:val="24"/>
          <w:szCs w:val="24"/>
        </w:rPr>
        <w:t>,</w:t>
      </w:r>
      <w:r w:rsidR="000725DA" w:rsidRPr="00C00207">
        <w:rPr>
          <w:rFonts w:ascii="Times New Roman" w:eastAsia="Calibri" w:hAnsi="Times New Roman"/>
          <w:sz w:val="24"/>
          <w:szCs w:val="24"/>
        </w:rPr>
        <w:t xml:space="preserve"> (2003</w:t>
      </w:r>
      <w:r w:rsidR="008E4D7F">
        <w:rPr>
          <w:rFonts w:ascii="Times New Roman" w:eastAsia="Calibri" w:hAnsi="Times New Roman"/>
          <w:sz w:val="24"/>
          <w:szCs w:val="24"/>
        </w:rPr>
        <w:t>),</w:t>
      </w:r>
      <w:r w:rsidR="000725DA" w:rsidRPr="00C00207">
        <w:rPr>
          <w:rFonts w:ascii="Times New Roman" w:eastAsia="Calibri" w:hAnsi="Times New Roman"/>
          <w:sz w:val="24"/>
          <w:szCs w:val="24"/>
        </w:rPr>
        <w:t xml:space="preserve"> </w:t>
      </w:r>
      <w:r w:rsidR="000725DA" w:rsidRPr="008E4D7F">
        <w:rPr>
          <w:rFonts w:ascii="Times New Roman" w:eastAsia="Calibri" w:hAnsi="Times New Roman"/>
          <w:b/>
          <w:sz w:val="24"/>
          <w:szCs w:val="24"/>
        </w:rPr>
        <w:t>“Strategic approaches to science and technology in development”</w:t>
      </w:r>
      <w:r w:rsidR="008E4D7F">
        <w:rPr>
          <w:rFonts w:ascii="Times New Roman" w:eastAsia="Calibri" w:hAnsi="Times New Roman"/>
          <w:sz w:val="24"/>
          <w:szCs w:val="24"/>
        </w:rPr>
        <w:t>,</w:t>
      </w:r>
      <w:r w:rsidR="000725DA" w:rsidRPr="00C00207">
        <w:rPr>
          <w:rFonts w:ascii="Times New Roman" w:hAnsi="Times New Roman"/>
          <w:color w:val="000000"/>
          <w:kern w:val="36"/>
          <w:sz w:val="24"/>
          <w:szCs w:val="24"/>
        </w:rPr>
        <w:t xml:space="preserve"> </w:t>
      </w:r>
      <w:hyperlink r:id="rId49" w:history="1">
        <w:r w:rsidR="00DE0ED8" w:rsidRPr="00C00207">
          <w:rPr>
            <w:rFonts w:ascii="Times New Roman" w:eastAsia="Calibri" w:hAnsi="Times New Roman"/>
            <w:i/>
            <w:sz w:val="24"/>
            <w:szCs w:val="24"/>
          </w:rPr>
          <w:t>Policy, Research working paper</w:t>
        </w:r>
      </w:hyperlink>
      <w:r w:rsidR="00DE0ED8" w:rsidRPr="00C00207">
        <w:rPr>
          <w:rFonts w:ascii="Times New Roman" w:eastAsia="Calibri" w:hAnsi="Times New Roman"/>
          <w:sz w:val="24"/>
          <w:szCs w:val="24"/>
        </w:rPr>
        <w:t xml:space="preserve">, </w:t>
      </w:r>
      <w:r w:rsidR="00DE0ED8" w:rsidRPr="00C00207">
        <w:rPr>
          <w:rFonts w:ascii="Times New Roman" w:eastAsia="Calibri" w:hAnsi="Times New Roman"/>
          <w:i/>
          <w:sz w:val="24"/>
          <w:szCs w:val="24"/>
        </w:rPr>
        <w:t xml:space="preserve"> </w:t>
      </w:r>
      <w:r w:rsidR="00DE0ED8" w:rsidRPr="00C00207">
        <w:rPr>
          <w:rFonts w:ascii="Times New Roman" w:eastAsia="Calibri" w:hAnsi="Times New Roman"/>
          <w:sz w:val="24"/>
          <w:szCs w:val="24"/>
        </w:rPr>
        <w:t>No. WPS 3026,</w:t>
      </w:r>
      <w:r w:rsidR="00DE0ED8" w:rsidRPr="00C00207">
        <w:rPr>
          <w:rFonts w:ascii="Times New Roman" w:eastAsia="Calibri" w:hAnsi="Times New Roman"/>
          <w:i/>
          <w:sz w:val="24"/>
          <w:szCs w:val="24"/>
        </w:rPr>
        <w:t xml:space="preserve"> </w:t>
      </w:r>
      <w:r w:rsidR="009C7F98" w:rsidRPr="00C00207">
        <w:rPr>
          <w:rFonts w:ascii="Times New Roman" w:eastAsia="Calibri" w:hAnsi="Times New Roman"/>
          <w:sz w:val="24"/>
          <w:szCs w:val="24"/>
        </w:rPr>
        <w:t>1-32.</w:t>
      </w:r>
    </w:p>
    <w:p w:rsidR="00320821" w:rsidRPr="00320821" w:rsidRDefault="00320821" w:rsidP="00320821">
      <w:pPr>
        <w:pStyle w:val="ListeParagraf"/>
        <w:rPr>
          <w:rFonts w:ascii="Times New Roman" w:eastAsia="Calibri" w:hAnsi="Times New Roman"/>
          <w:sz w:val="24"/>
          <w:szCs w:val="24"/>
        </w:rPr>
      </w:pPr>
    </w:p>
    <w:p w:rsidR="00D433CB" w:rsidRDefault="008E4D7F" w:rsidP="00C00207">
      <w:pPr>
        <w:pStyle w:val="ListeParagraf"/>
        <w:numPr>
          <w:ilvl w:val="0"/>
          <w:numId w:val="10"/>
        </w:numPr>
        <w:spacing w:before="60" w:after="60"/>
        <w:rPr>
          <w:rFonts w:ascii="Times New Roman" w:eastAsia="Calibri" w:hAnsi="Times New Roman"/>
          <w:sz w:val="24"/>
          <w:szCs w:val="24"/>
        </w:rPr>
      </w:pPr>
      <w:r w:rsidRPr="00C00207">
        <w:rPr>
          <w:rFonts w:ascii="Times New Roman" w:eastAsia="Calibri" w:hAnsi="Times New Roman"/>
          <w:sz w:val="24"/>
          <w:szCs w:val="24"/>
        </w:rPr>
        <w:t>WONG</w:t>
      </w:r>
      <w:r w:rsidR="00D433CB" w:rsidRPr="00C00207">
        <w:rPr>
          <w:rFonts w:ascii="Times New Roman" w:eastAsia="Calibri" w:hAnsi="Times New Roman"/>
          <w:sz w:val="24"/>
          <w:szCs w:val="24"/>
        </w:rPr>
        <w:t xml:space="preserve">, C. Y., &amp; </w:t>
      </w:r>
      <w:r w:rsidRPr="00C00207">
        <w:rPr>
          <w:rFonts w:ascii="Times New Roman" w:eastAsia="Calibri" w:hAnsi="Times New Roman"/>
          <w:sz w:val="24"/>
          <w:szCs w:val="24"/>
        </w:rPr>
        <w:t>GOH</w:t>
      </w:r>
      <w:r>
        <w:rPr>
          <w:rFonts w:ascii="Times New Roman" w:eastAsia="Calibri" w:hAnsi="Times New Roman"/>
          <w:sz w:val="24"/>
          <w:szCs w:val="24"/>
        </w:rPr>
        <w:t>, K. L., (2010),</w:t>
      </w:r>
      <w:r w:rsidR="00D433CB" w:rsidRPr="00C00207">
        <w:rPr>
          <w:rFonts w:ascii="Times New Roman" w:eastAsia="Calibri" w:hAnsi="Times New Roman"/>
          <w:sz w:val="24"/>
          <w:szCs w:val="24"/>
        </w:rPr>
        <w:t xml:space="preserve"> </w:t>
      </w:r>
      <w:r w:rsidR="00D433CB" w:rsidRPr="008E4D7F">
        <w:rPr>
          <w:rFonts w:ascii="Times New Roman" w:eastAsia="Calibri" w:hAnsi="Times New Roman"/>
          <w:b/>
          <w:sz w:val="24"/>
          <w:szCs w:val="24"/>
        </w:rPr>
        <w:t>Growth behavior of publications and patents: A comparative study on selected Asian economies</w:t>
      </w:r>
      <w:r>
        <w:rPr>
          <w:rFonts w:ascii="Times New Roman" w:eastAsia="Calibri" w:hAnsi="Times New Roman"/>
          <w:sz w:val="24"/>
          <w:szCs w:val="24"/>
        </w:rPr>
        <w:t>,</w:t>
      </w:r>
      <w:r w:rsidR="00D433CB" w:rsidRPr="00C00207">
        <w:rPr>
          <w:rFonts w:ascii="Times New Roman" w:eastAsia="Calibri" w:hAnsi="Times New Roman"/>
          <w:sz w:val="24"/>
          <w:szCs w:val="24"/>
        </w:rPr>
        <w:t xml:space="preserve"> </w:t>
      </w:r>
      <w:r w:rsidR="00D433CB" w:rsidRPr="00C00207">
        <w:rPr>
          <w:rFonts w:ascii="Times New Roman" w:eastAsia="Calibri" w:hAnsi="Times New Roman"/>
          <w:i/>
          <w:sz w:val="24"/>
          <w:szCs w:val="24"/>
        </w:rPr>
        <w:t>Journal of Informetrics</w:t>
      </w:r>
      <w:r w:rsidR="00320821">
        <w:rPr>
          <w:rFonts w:ascii="Times New Roman" w:eastAsia="Calibri" w:hAnsi="Times New Roman"/>
          <w:sz w:val="24"/>
          <w:szCs w:val="24"/>
        </w:rPr>
        <w:t>, 4</w:t>
      </w:r>
      <w:r>
        <w:rPr>
          <w:rFonts w:ascii="Times New Roman" w:eastAsia="Calibri" w:hAnsi="Times New Roman"/>
          <w:sz w:val="24"/>
          <w:szCs w:val="24"/>
        </w:rPr>
        <w:t xml:space="preserve"> </w:t>
      </w:r>
      <w:r w:rsidR="00320821">
        <w:rPr>
          <w:rFonts w:ascii="Times New Roman" w:eastAsia="Calibri" w:hAnsi="Times New Roman"/>
          <w:sz w:val="24"/>
          <w:szCs w:val="24"/>
        </w:rPr>
        <w:t>(4), 460-474.</w:t>
      </w:r>
    </w:p>
    <w:p w:rsidR="00320821" w:rsidRPr="00320821" w:rsidRDefault="00320821" w:rsidP="00320821">
      <w:pPr>
        <w:pStyle w:val="ListeParagraf"/>
        <w:rPr>
          <w:rFonts w:ascii="Times New Roman" w:eastAsia="Calibri" w:hAnsi="Times New Roman"/>
          <w:sz w:val="24"/>
          <w:szCs w:val="24"/>
        </w:rPr>
      </w:pPr>
    </w:p>
    <w:p w:rsidR="005B7E71" w:rsidRPr="00C00207" w:rsidRDefault="008E4D7F" w:rsidP="00C00207">
      <w:pPr>
        <w:pStyle w:val="ListeParagraf"/>
        <w:numPr>
          <w:ilvl w:val="0"/>
          <w:numId w:val="10"/>
        </w:numPr>
        <w:spacing w:before="60" w:after="60"/>
        <w:rPr>
          <w:rFonts w:ascii="Times New Roman" w:eastAsia="Calibri" w:hAnsi="Times New Roman"/>
          <w:sz w:val="24"/>
          <w:szCs w:val="24"/>
        </w:rPr>
      </w:pPr>
      <w:r w:rsidRPr="00C00207">
        <w:rPr>
          <w:rFonts w:ascii="Times New Roman" w:eastAsia="Calibri" w:hAnsi="Times New Roman"/>
          <w:sz w:val="24"/>
          <w:szCs w:val="24"/>
        </w:rPr>
        <w:t>ZAVADSKAS</w:t>
      </w:r>
      <w:r w:rsidR="005B7E71" w:rsidRPr="00C00207">
        <w:rPr>
          <w:rFonts w:ascii="Times New Roman" w:eastAsia="Calibri" w:hAnsi="Times New Roman"/>
          <w:sz w:val="24"/>
          <w:szCs w:val="24"/>
        </w:rPr>
        <w:t xml:space="preserve">, E. K.  </w:t>
      </w:r>
      <w:r w:rsidR="005B7E71" w:rsidRPr="00C00207">
        <w:rPr>
          <w:rFonts w:ascii="Times New Roman" w:hAnsi="Times New Roman"/>
          <w:sz w:val="24"/>
          <w:szCs w:val="24"/>
        </w:rPr>
        <w:t xml:space="preserve">&amp; </w:t>
      </w:r>
      <w:r>
        <w:rPr>
          <w:rFonts w:ascii="Times New Roman" w:eastAsia="Calibri" w:hAnsi="Times New Roman"/>
          <w:sz w:val="24"/>
          <w:szCs w:val="24"/>
        </w:rPr>
        <w:t>TURSKI</w:t>
      </w:r>
      <w:r w:rsidRPr="00C00207">
        <w:rPr>
          <w:rFonts w:ascii="Times New Roman" w:eastAsia="Calibri" w:hAnsi="Times New Roman"/>
          <w:sz w:val="24"/>
          <w:szCs w:val="24"/>
        </w:rPr>
        <w:t>S</w:t>
      </w:r>
      <w:r w:rsidR="005B7E71" w:rsidRPr="00C00207">
        <w:rPr>
          <w:rFonts w:ascii="Times New Roman" w:eastAsia="Calibri" w:hAnsi="Times New Roman"/>
          <w:sz w:val="24"/>
          <w:szCs w:val="24"/>
        </w:rPr>
        <w:t>, Z.</w:t>
      </w:r>
      <w:r>
        <w:rPr>
          <w:rFonts w:ascii="Times New Roman" w:eastAsia="Calibri" w:hAnsi="Times New Roman"/>
          <w:sz w:val="24"/>
          <w:szCs w:val="24"/>
        </w:rPr>
        <w:t>,</w:t>
      </w:r>
      <w:r w:rsidR="005B7E71" w:rsidRPr="00C00207">
        <w:rPr>
          <w:rFonts w:ascii="Times New Roman" w:eastAsia="Calibri" w:hAnsi="Times New Roman"/>
          <w:sz w:val="24"/>
          <w:szCs w:val="24"/>
        </w:rPr>
        <w:t xml:space="preserve"> (2010)</w:t>
      </w:r>
      <w:r>
        <w:rPr>
          <w:rFonts w:ascii="Times New Roman" w:eastAsia="Calibri" w:hAnsi="Times New Roman"/>
          <w:sz w:val="24"/>
          <w:szCs w:val="24"/>
        </w:rPr>
        <w:t>,</w:t>
      </w:r>
      <w:r w:rsidR="005B7E71" w:rsidRPr="00C00207">
        <w:rPr>
          <w:rFonts w:ascii="Times New Roman" w:eastAsia="Calibri" w:hAnsi="Times New Roman"/>
          <w:sz w:val="24"/>
          <w:szCs w:val="24"/>
        </w:rPr>
        <w:t xml:space="preserve"> </w:t>
      </w:r>
      <w:r w:rsidR="005B7E71" w:rsidRPr="008E4D7F">
        <w:rPr>
          <w:rFonts w:ascii="Times New Roman" w:eastAsia="Calibri" w:hAnsi="Times New Roman"/>
          <w:b/>
          <w:sz w:val="24"/>
          <w:szCs w:val="24"/>
        </w:rPr>
        <w:t>“A new additive ratio assessment (ARAS) method in multicriteria decision-making”</w:t>
      </w:r>
      <w:r w:rsidR="005B7E71" w:rsidRPr="00C00207">
        <w:rPr>
          <w:rFonts w:ascii="Times New Roman" w:eastAsia="Calibri" w:hAnsi="Times New Roman"/>
          <w:sz w:val="24"/>
          <w:szCs w:val="24"/>
        </w:rPr>
        <w:t>, T</w:t>
      </w:r>
      <w:r w:rsidR="005B7E71" w:rsidRPr="00C00207">
        <w:rPr>
          <w:rFonts w:ascii="Times New Roman" w:eastAsia="Calibri" w:hAnsi="Times New Roman"/>
          <w:i/>
          <w:sz w:val="24"/>
          <w:szCs w:val="24"/>
        </w:rPr>
        <w:t>echnological and Economic Development of Economy</w:t>
      </w:r>
      <w:r w:rsidR="005B7E71" w:rsidRPr="00C00207">
        <w:rPr>
          <w:rFonts w:ascii="Times New Roman" w:eastAsia="Calibri" w:hAnsi="Times New Roman"/>
          <w:sz w:val="24"/>
          <w:szCs w:val="24"/>
        </w:rPr>
        <w:t>, 16</w:t>
      </w:r>
      <w:r>
        <w:rPr>
          <w:rFonts w:ascii="Times New Roman" w:eastAsia="Calibri" w:hAnsi="Times New Roman"/>
          <w:sz w:val="24"/>
          <w:szCs w:val="24"/>
        </w:rPr>
        <w:t xml:space="preserve"> </w:t>
      </w:r>
      <w:r w:rsidR="005B7E71" w:rsidRPr="00C00207">
        <w:rPr>
          <w:rFonts w:ascii="Times New Roman" w:eastAsia="Calibri" w:hAnsi="Times New Roman"/>
          <w:sz w:val="24"/>
          <w:szCs w:val="24"/>
        </w:rPr>
        <w:t>(2): 159–172.</w:t>
      </w:r>
    </w:p>
    <w:p w:rsidR="00E86A7A" w:rsidRPr="00C00207" w:rsidRDefault="00E86A7A" w:rsidP="00603EBC">
      <w:pPr>
        <w:ind w:firstLine="720"/>
        <w:rPr>
          <w:lang w:val="tr-TR"/>
        </w:rPr>
      </w:pPr>
    </w:p>
    <w:sectPr w:rsidR="00E86A7A" w:rsidRPr="00C00207" w:rsidSect="00766D54">
      <w:footerReference w:type="default" r:id="rId50"/>
      <w:footnotePr>
        <w:numRestart w:val="eachPage"/>
      </w:footnotePr>
      <w:pgSz w:w="11907" w:h="16840" w:code="9"/>
      <w:pgMar w:top="1417" w:right="1417" w:bottom="1417" w:left="1417" w:header="1134"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8F" w:rsidRDefault="002D6B8F">
      <w:r>
        <w:separator/>
      </w:r>
    </w:p>
  </w:endnote>
  <w:endnote w:type="continuationSeparator" w:id="0">
    <w:p w:rsidR="002D6B8F" w:rsidRDefault="002D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985591"/>
      <w:docPartObj>
        <w:docPartGallery w:val="Page Numbers (Bottom of Page)"/>
        <w:docPartUnique/>
      </w:docPartObj>
    </w:sdtPr>
    <w:sdtEndPr/>
    <w:sdtContent>
      <w:p w:rsidR="00BA0716" w:rsidRDefault="00BA0716">
        <w:pPr>
          <w:pStyle w:val="AltBilgi"/>
          <w:jc w:val="right"/>
        </w:pPr>
        <w:r>
          <w:fldChar w:fldCharType="begin"/>
        </w:r>
        <w:r>
          <w:instrText>PAGE   \* MERGEFORMAT</w:instrText>
        </w:r>
        <w:r>
          <w:fldChar w:fldCharType="separate"/>
        </w:r>
        <w:r w:rsidR="001D7DCE" w:rsidRPr="001D7DCE">
          <w:rPr>
            <w:noProof/>
            <w:lang w:val="tr-TR"/>
          </w:rPr>
          <w:t>1</w:t>
        </w:r>
        <w:r>
          <w:fldChar w:fldCharType="end"/>
        </w:r>
      </w:p>
    </w:sdtContent>
  </w:sdt>
  <w:p w:rsidR="00BA0716" w:rsidRPr="001C7697" w:rsidRDefault="00BA0716" w:rsidP="007A346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8F" w:rsidRDefault="002D6B8F">
      <w:r>
        <w:separator/>
      </w:r>
    </w:p>
  </w:footnote>
  <w:footnote w:type="continuationSeparator" w:id="0">
    <w:p w:rsidR="002D6B8F" w:rsidRDefault="002D6B8F">
      <w:r>
        <w:continuationSeparator/>
      </w:r>
    </w:p>
  </w:footnote>
  <w:footnote w:id="1">
    <w:p w:rsidR="00BA0716" w:rsidRDefault="00BA0716" w:rsidP="00636E29">
      <w:pPr>
        <w:pStyle w:val="DipnotMetni"/>
        <w:spacing w:before="120" w:after="120"/>
        <w:rPr>
          <w:i/>
          <w:sz w:val="22"/>
          <w:szCs w:val="22"/>
          <w:lang w:val="tr-TR"/>
        </w:rPr>
      </w:pPr>
      <w:r>
        <w:rPr>
          <w:rStyle w:val="DipnotBavurusu"/>
        </w:rPr>
        <w:footnoteRef/>
      </w:r>
      <w:r>
        <w:t xml:space="preserve"> </w:t>
      </w:r>
      <w:r w:rsidRPr="00215652">
        <w:rPr>
          <w:b/>
          <w:i/>
          <w:sz w:val="22"/>
          <w:szCs w:val="22"/>
        </w:rPr>
        <w:t>Serap Pelin TÜRKOĞLU</w:t>
      </w:r>
      <w:r w:rsidRPr="00215652">
        <w:rPr>
          <w:i/>
          <w:sz w:val="22"/>
          <w:szCs w:val="22"/>
        </w:rPr>
        <w:t xml:space="preserve">, Dr., </w:t>
      </w:r>
      <w:r w:rsidRPr="00215652">
        <w:rPr>
          <w:i/>
          <w:sz w:val="22"/>
          <w:szCs w:val="22"/>
          <w:lang w:val="tr-TR"/>
        </w:rPr>
        <w:t>Giresun Üni</w:t>
      </w:r>
      <w:r w:rsidR="00636E29">
        <w:rPr>
          <w:i/>
          <w:sz w:val="22"/>
          <w:szCs w:val="22"/>
          <w:lang w:val="tr-TR"/>
        </w:rPr>
        <w:t>versitesi, İİBF, İşletme Bölümü</w:t>
      </w:r>
      <w:r w:rsidR="00636E29" w:rsidRPr="00636E29">
        <w:rPr>
          <w:i/>
          <w:sz w:val="22"/>
          <w:szCs w:val="22"/>
        </w:rPr>
        <w:t xml:space="preserve"> </w:t>
      </w:r>
      <w:r w:rsidR="00636E29">
        <w:rPr>
          <w:i/>
          <w:sz w:val="22"/>
          <w:szCs w:val="22"/>
        </w:rPr>
        <w:t>Araştırma Görevlisi.</w:t>
      </w:r>
      <w:r w:rsidR="001D7DCE">
        <w:rPr>
          <w:i/>
          <w:sz w:val="22"/>
          <w:szCs w:val="22"/>
        </w:rPr>
        <w:t xml:space="preserve"> ORCID: 0000-000-9566-9898</w:t>
      </w:r>
      <w:bookmarkStart w:id="0" w:name="_GoBack"/>
      <w:bookmarkEnd w:id="0"/>
    </w:p>
    <w:p w:rsidR="001B5250" w:rsidRPr="001B5250" w:rsidRDefault="001B5250" w:rsidP="001B5250">
      <w:pPr>
        <w:pStyle w:val="DipnotMetni"/>
        <w:numPr>
          <w:ilvl w:val="0"/>
          <w:numId w:val="11"/>
        </w:numPr>
        <w:spacing w:before="120" w:after="120"/>
        <w:rPr>
          <w:i/>
          <w:sz w:val="18"/>
          <w:szCs w:val="18"/>
          <w:lang w:val="tr-TR"/>
        </w:rPr>
      </w:pPr>
      <w:r w:rsidRPr="001B5250">
        <w:rPr>
          <w:i/>
          <w:sz w:val="18"/>
          <w:szCs w:val="18"/>
          <w:lang w:val="tr-TR"/>
        </w:rPr>
        <w:t>Makale Gönderim Tarihi: 14.11.2017 Kabul Tarihi: 09.02.2018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AD2"/>
    <w:multiLevelType w:val="hybridMultilevel"/>
    <w:tmpl w:val="867246FC"/>
    <w:lvl w:ilvl="0" w:tplc="924C11B6">
      <w:start w:val="1"/>
      <w:numFmt w:val="decimal"/>
      <w:lvlText w:val="%1."/>
      <w:lvlJc w:val="left"/>
      <w:pPr>
        <w:tabs>
          <w:tab w:val="num" w:pos="927"/>
        </w:tabs>
        <w:ind w:left="927" w:hanging="360"/>
      </w:pPr>
      <w:rPr>
        <w:rFonts w:cs="Times New Roman" w:hint="default"/>
        <w:b w:val="0"/>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1B0418DA"/>
    <w:multiLevelType w:val="hybridMultilevel"/>
    <w:tmpl w:val="32C05B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6E3E47"/>
    <w:multiLevelType w:val="hybridMultilevel"/>
    <w:tmpl w:val="9EA8318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4E4FC7"/>
    <w:multiLevelType w:val="multilevel"/>
    <w:tmpl w:val="748E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A25B4"/>
    <w:multiLevelType w:val="multilevel"/>
    <w:tmpl w:val="E4E22EEC"/>
    <w:lvl w:ilvl="0">
      <w:start w:val="1"/>
      <w:numFmt w:val="decimal"/>
      <w:lvlText w:val="%1."/>
      <w:lvlJc w:val="left"/>
      <w:pPr>
        <w:tabs>
          <w:tab w:val="num" w:pos="927"/>
        </w:tabs>
        <w:ind w:left="927" w:hanging="360"/>
      </w:pPr>
      <w:rPr>
        <w:rFonts w:cs="Times New Roman"/>
        <w:b/>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1C46172"/>
    <w:multiLevelType w:val="multilevel"/>
    <w:tmpl w:val="47A01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B459B3"/>
    <w:multiLevelType w:val="multilevel"/>
    <w:tmpl w:val="C2EA2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E005EF"/>
    <w:multiLevelType w:val="multilevel"/>
    <w:tmpl w:val="C01E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24635C"/>
    <w:multiLevelType w:val="multilevel"/>
    <w:tmpl w:val="350A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C83BE0"/>
    <w:multiLevelType w:val="multilevel"/>
    <w:tmpl w:val="92FC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AD533D"/>
    <w:multiLevelType w:val="multilevel"/>
    <w:tmpl w:val="1B92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8"/>
  </w:num>
  <w:num w:numId="4">
    <w:abstractNumId w:val="9"/>
  </w:num>
  <w:num w:numId="5">
    <w:abstractNumId w:val="6"/>
  </w:num>
  <w:num w:numId="6">
    <w:abstractNumId w:val="7"/>
  </w:num>
  <w:num w:numId="7">
    <w:abstractNumId w:val="0"/>
  </w:num>
  <w:num w:numId="8">
    <w:abstractNumId w:val="4"/>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05"/>
    <w:rsid w:val="000027FB"/>
    <w:rsid w:val="00003591"/>
    <w:rsid w:val="00015C57"/>
    <w:rsid w:val="00024927"/>
    <w:rsid w:val="00024EC9"/>
    <w:rsid w:val="000250F1"/>
    <w:rsid w:val="00026CD8"/>
    <w:rsid w:val="00037D95"/>
    <w:rsid w:val="00041F42"/>
    <w:rsid w:val="00042285"/>
    <w:rsid w:val="00060939"/>
    <w:rsid w:val="000725DA"/>
    <w:rsid w:val="00073C35"/>
    <w:rsid w:val="00075816"/>
    <w:rsid w:val="00075B9E"/>
    <w:rsid w:val="00076908"/>
    <w:rsid w:val="000854CC"/>
    <w:rsid w:val="00086FE8"/>
    <w:rsid w:val="00091658"/>
    <w:rsid w:val="0009409E"/>
    <w:rsid w:val="00094350"/>
    <w:rsid w:val="000A1C24"/>
    <w:rsid w:val="000B1F5D"/>
    <w:rsid w:val="000B28E5"/>
    <w:rsid w:val="000B3E7F"/>
    <w:rsid w:val="000B4548"/>
    <w:rsid w:val="000B5E8F"/>
    <w:rsid w:val="000D2C32"/>
    <w:rsid w:val="000D336D"/>
    <w:rsid w:val="000E60B2"/>
    <w:rsid w:val="000F15C6"/>
    <w:rsid w:val="000F5191"/>
    <w:rsid w:val="001015B6"/>
    <w:rsid w:val="00103B4C"/>
    <w:rsid w:val="00104B1B"/>
    <w:rsid w:val="00107E08"/>
    <w:rsid w:val="00112699"/>
    <w:rsid w:val="00112CB0"/>
    <w:rsid w:val="001158EF"/>
    <w:rsid w:val="00120C19"/>
    <w:rsid w:val="00121B14"/>
    <w:rsid w:val="00131082"/>
    <w:rsid w:val="001320FB"/>
    <w:rsid w:val="00134F32"/>
    <w:rsid w:val="00137507"/>
    <w:rsid w:val="00143656"/>
    <w:rsid w:val="0014399E"/>
    <w:rsid w:val="001447B1"/>
    <w:rsid w:val="00150E3C"/>
    <w:rsid w:val="00155223"/>
    <w:rsid w:val="00157C79"/>
    <w:rsid w:val="00157D8C"/>
    <w:rsid w:val="00157FE4"/>
    <w:rsid w:val="00162891"/>
    <w:rsid w:val="001640D3"/>
    <w:rsid w:val="0016496A"/>
    <w:rsid w:val="00166D26"/>
    <w:rsid w:val="001672E4"/>
    <w:rsid w:val="001678D5"/>
    <w:rsid w:val="00170953"/>
    <w:rsid w:val="00184398"/>
    <w:rsid w:val="001854CE"/>
    <w:rsid w:val="001856FB"/>
    <w:rsid w:val="001867F6"/>
    <w:rsid w:val="00190566"/>
    <w:rsid w:val="00192B7D"/>
    <w:rsid w:val="001B2E03"/>
    <w:rsid w:val="001B5250"/>
    <w:rsid w:val="001B585F"/>
    <w:rsid w:val="001B6B4A"/>
    <w:rsid w:val="001C7697"/>
    <w:rsid w:val="001C78D7"/>
    <w:rsid w:val="001D510E"/>
    <w:rsid w:val="001D51B6"/>
    <w:rsid w:val="001D5664"/>
    <w:rsid w:val="001D7DCE"/>
    <w:rsid w:val="001E095E"/>
    <w:rsid w:val="001E3B69"/>
    <w:rsid w:val="001E53BD"/>
    <w:rsid w:val="001E549F"/>
    <w:rsid w:val="001F2BD5"/>
    <w:rsid w:val="001F342D"/>
    <w:rsid w:val="001F39C7"/>
    <w:rsid w:val="001F4D9F"/>
    <w:rsid w:val="001F69D1"/>
    <w:rsid w:val="00204823"/>
    <w:rsid w:val="00204A64"/>
    <w:rsid w:val="002062CF"/>
    <w:rsid w:val="00210FAF"/>
    <w:rsid w:val="00212213"/>
    <w:rsid w:val="00213392"/>
    <w:rsid w:val="00215652"/>
    <w:rsid w:val="00216D87"/>
    <w:rsid w:val="00221487"/>
    <w:rsid w:val="00222DCE"/>
    <w:rsid w:val="002244A3"/>
    <w:rsid w:val="00224E53"/>
    <w:rsid w:val="00226662"/>
    <w:rsid w:val="002272C0"/>
    <w:rsid w:val="00227B96"/>
    <w:rsid w:val="002331B7"/>
    <w:rsid w:val="00233434"/>
    <w:rsid w:val="00234168"/>
    <w:rsid w:val="00235946"/>
    <w:rsid w:val="00237977"/>
    <w:rsid w:val="002448A1"/>
    <w:rsid w:val="002453DA"/>
    <w:rsid w:val="00246F99"/>
    <w:rsid w:val="00256F4E"/>
    <w:rsid w:val="00263350"/>
    <w:rsid w:val="002646F0"/>
    <w:rsid w:val="0026566F"/>
    <w:rsid w:val="002700D3"/>
    <w:rsid w:val="00273CAE"/>
    <w:rsid w:val="00275453"/>
    <w:rsid w:val="0027587A"/>
    <w:rsid w:val="00277215"/>
    <w:rsid w:val="00286C74"/>
    <w:rsid w:val="002910C0"/>
    <w:rsid w:val="00291695"/>
    <w:rsid w:val="00294605"/>
    <w:rsid w:val="00294661"/>
    <w:rsid w:val="00295FEA"/>
    <w:rsid w:val="0029637D"/>
    <w:rsid w:val="002A4B1C"/>
    <w:rsid w:val="002B0CDF"/>
    <w:rsid w:val="002B64BE"/>
    <w:rsid w:val="002B7B3A"/>
    <w:rsid w:val="002C08C5"/>
    <w:rsid w:val="002C2673"/>
    <w:rsid w:val="002C4C86"/>
    <w:rsid w:val="002C508A"/>
    <w:rsid w:val="002C6D83"/>
    <w:rsid w:val="002D3806"/>
    <w:rsid w:val="002D5E6A"/>
    <w:rsid w:val="002D6109"/>
    <w:rsid w:val="002D66EB"/>
    <w:rsid w:val="002D6B8F"/>
    <w:rsid w:val="002E632E"/>
    <w:rsid w:val="002F40AE"/>
    <w:rsid w:val="0030186A"/>
    <w:rsid w:val="0030290B"/>
    <w:rsid w:val="00303165"/>
    <w:rsid w:val="00304600"/>
    <w:rsid w:val="00307EAD"/>
    <w:rsid w:val="00315BBB"/>
    <w:rsid w:val="00320821"/>
    <w:rsid w:val="003222D7"/>
    <w:rsid w:val="0032261A"/>
    <w:rsid w:val="00323AE2"/>
    <w:rsid w:val="00325C31"/>
    <w:rsid w:val="0032664D"/>
    <w:rsid w:val="0033657C"/>
    <w:rsid w:val="00344354"/>
    <w:rsid w:val="003445FB"/>
    <w:rsid w:val="00347BE9"/>
    <w:rsid w:val="00347C83"/>
    <w:rsid w:val="00347E29"/>
    <w:rsid w:val="0036229C"/>
    <w:rsid w:val="003649CF"/>
    <w:rsid w:val="00365CEB"/>
    <w:rsid w:val="003665E5"/>
    <w:rsid w:val="00372F07"/>
    <w:rsid w:val="00374255"/>
    <w:rsid w:val="003804A4"/>
    <w:rsid w:val="00382A30"/>
    <w:rsid w:val="00383DA4"/>
    <w:rsid w:val="0038693A"/>
    <w:rsid w:val="0039179F"/>
    <w:rsid w:val="0039238E"/>
    <w:rsid w:val="00392442"/>
    <w:rsid w:val="00397A78"/>
    <w:rsid w:val="003A3D50"/>
    <w:rsid w:val="003B1E01"/>
    <w:rsid w:val="003C2BA1"/>
    <w:rsid w:val="003C395C"/>
    <w:rsid w:val="003C439A"/>
    <w:rsid w:val="003C6D15"/>
    <w:rsid w:val="003D2BA7"/>
    <w:rsid w:val="003D39EA"/>
    <w:rsid w:val="003D3E9C"/>
    <w:rsid w:val="003D6D6C"/>
    <w:rsid w:val="003D7AC0"/>
    <w:rsid w:val="003E131A"/>
    <w:rsid w:val="003E3EDC"/>
    <w:rsid w:val="003F0DB4"/>
    <w:rsid w:val="003F52DA"/>
    <w:rsid w:val="00403452"/>
    <w:rsid w:val="00404102"/>
    <w:rsid w:val="00406C7C"/>
    <w:rsid w:val="00407AB0"/>
    <w:rsid w:val="00411047"/>
    <w:rsid w:val="00412EB9"/>
    <w:rsid w:val="00413F3E"/>
    <w:rsid w:val="004169CB"/>
    <w:rsid w:val="00421DAC"/>
    <w:rsid w:val="00424FC8"/>
    <w:rsid w:val="0042691D"/>
    <w:rsid w:val="00430F3B"/>
    <w:rsid w:val="00431E08"/>
    <w:rsid w:val="00432E37"/>
    <w:rsid w:val="00433402"/>
    <w:rsid w:val="00437B63"/>
    <w:rsid w:val="00437C99"/>
    <w:rsid w:val="00441E46"/>
    <w:rsid w:val="00443814"/>
    <w:rsid w:val="00452518"/>
    <w:rsid w:val="004529F3"/>
    <w:rsid w:val="00455E4D"/>
    <w:rsid w:val="00457A8E"/>
    <w:rsid w:val="004603EF"/>
    <w:rsid w:val="0046055D"/>
    <w:rsid w:val="00461B05"/>
    <w:rsid w:val="00463188"/>
    <w:rsid w:val="00467641"/>
    <w:rsid w:val="004676CF"/>
    <w:rsid w:val="00467E51"/>
    <w:rsid w:val="00483A01"/>
    <w:rsid w:val="004855E0"/>
    <w:rsid w:val="00486F88"/>
    <w:rsid w:val="00497066"/>
    <w:rsid w:val="004A11B0"/>
    <w:rsid w:val="004A2737"/>
    <w:rsid w:val="004A2767"/>
    <w:rsid w:val="004A45AA"/>
    <w:rsid w:val="004A623D"/>
    <w:rsid w:val="004A7A63"/>
    <w:rsid w:val="004B1E9E"/>
    <w:rsid w:val="004C1DE0"/>
    <w:rsid w:val="004C608E"/>
    <w:rsid w:val="004C7BD6"/>
    <w:rsid w:val="004C7E1F"/>
    <w:rsid w:val="004D17EB"/>
    <w:rsid w:val="004D3BA0"/>
    <w:rsid w:val="004D6451"/>
    <w:rsid w:val="004E0CAF"/>
    <w:rsid w:val="004E3AA5"/>
    <w:rsid w:val="004F41E4"/>
    <w:rsid w:val="004F578C"/>
    <w:rsid w:val="005005D0"/>
    <w:rsid w:val="00500C7E"/>
    <w:rsid w:val="00503F77"/>
    <w:rsid w:val="00507A17"/>
    <w:rsid w:val="00507E36"/>
    <w:rsid w:val="00511814"/>
    <w:rsid w:val="005132E5"/>
    <w:rsid w:val="00514870"/>
    <w:rsid w:val="00516DE7"/>
    <w:rsid w:val="00520DEF"/>
    <w:rsid w:val="005248A3"/>
    <w:rsid w:val="00524BBF"/>
    <w:rsid w:val="005264AB"/>
    <w:rsid w:val="0053109D"/>
    <w:rsid w:val="00534773"/>
    <w:rsid w:val="00544BA4"/>
    <w:rsid w:val="005454C0"/>
    <w:rsid w:val="005454E4"/>
    <w:rsid w:val="00547151"/>
    <w:rsid w:val="005472FA"/>
    <w:rsid w:val="00547B60"/>
    <w:rsid w:val="00550535"/>
    <w:rsid w:val="00552C6F"/>
    <w:rsid w:val="00557072"/>
    <w:rsid w:val="005648AC"/>
    <w:rsid w:val="0056659F"/>
    <w:rsid w:val="005669CD"/>
    <w:rsid w:val="005672DC"/>
    <w:rsid w:val="005705E7"/>
    <w:rsid w:val="005752ED"/>
    <w:rsid w:val="00577647"/>
    <w:rsid w:val="005828EB"/>
    <w:rsid w:val="00584C34"/>
    <w:rsid w:val="00584E21"/>
    <w:rsid w:val="00586EC8"/>
    <w:rsid w:val="00591683"/>
    <w:rsid w:val="0059173A"/>
    <w:rsid w:val="00591E23"/>
    <w:rsid w:val="00594C8B"/>
    <w:rsid w:val="00595F16"/>
    <w:rsid w:val="005A11E2"/>
    <w:rsid w:val="005A37C2"/>
    <w:rsid w:val="005B3140"/>
    <w:rsid w:val="005B5B68"/>
    <w:rsid w:val="005B646A"/>
    <w:rsid w:val="005B7E71"/>
    <w:rsid w:val="005C24EB"/>
    <w:rsid w:val="005C39D1"/>
    <w:rsid w:val="005D0804"/>
    <w:rsid w:val="005D53EA"/>
    <w:rsid w:val="005D6027"/>
    <w:rsid w:val="005D60F0"/>
    <w:rsid w:val="005D6E3F"/>
    <w:rsid w:val="005E3843"/>
    <w:rsid w:val="005F58B3"/>
    <w:rsid w:val="00600B4D"/>
    <w:rsid w:val="00603EBC"/>
    <w:rsid w:val="00613116"/>
    <w:rsid w:val="00613FDE"/>
    <w:rsid w:val="006214D5"/>
    <w:rsid w:val="00621BD1"/>
    <w:rsid w:val="006246AF"/>
    <w:rsid w:val="00625367"/>
    <w:rsid w:val="006318BE"/>
    <w:rsid w:val="00632E5B"/>
    <w:rsid w:val="00632F1D"/>
    <w:rsid w:val="006359EC"/>
    <w:rsid w:val="00636E29"/>
    <w:rsid w:val="006431D8"/>
    <w:rsid w:val="00643876"/>
    <w:rsid w:val="00644328"/>
    <w:rsid w:val="006533D8"/>
    <w:rsid w:val="00655FBE"/>
    <w:rsid w:val="00655FC1"/>
    <w:rsid w:val="00656023"/>
    <w:rsid w:val="006614E3"/>
    <w:rsid w:val="0066327F"/>
    <w:rsid w:val="006637D3"/>
    <w:rsid w:val="00664606"/>
    <w:rsid w:val="00667647"/>
    <w:rsid w:val="006705A2"/>
    <w:rsid w:val="00671E68"/>
    <w:rsid w:val="00672F31"/>
    <w:rsid w:val="00680AEE"/>
    <w:rsid w:val="00684004"/>
    <w:rsid w:val="00685DDB"/>
    <w:rsid w:val="00687353"/>
    <w:rsid w:val="00694CAE"/>
    <w:rsid w:val="00694DAA"/>
    <w:rsid w:val="006A1BCE"/>
    <w:rsid w:val="006A26A8"/>
    <w:rsid w:val="006A2B48"/>
    <w:rsid w:val="006A3E53"/>
    <w:rsid w:val="006A76EB"/>
    <w:rsid w:val="006A7916"/>
    <w:rsid w:val="006B4847"/>
    <w:rsid w:val="006C653B"/>
    <w:rsid w:val="006C7A02"/>
    <w:rsid w:val="006D48AB"/>
    <w:rsid w:val="006D6F93"/>
    <w:rsid w:val="006D7A8C"/>
    <w:rsid w:val="006E212B"/>
    <w:rsid w:val="006E304E"/>
    <w:rsid w:val="006E4DEF"/>
    <w:rsid w:val="006E6E37"/>
    <w:rsid w:val="006E7273"/>
    <w:rsid w:val="006F2044"/>
    <w:rsid w:val="006F2EF4"/>
    <w:rsid w:val="00700E93"/>
    <w:rsid w:val="00701CE6"/>
    <w:rsid w:val="007029C9"/>
    <w:rsid w:val="00703083"/>
    <w:rsid w:val="00717B07"/>
    <w:rsid w:val="007220E9"/>
    <w:rsid w:val="007301A9"/>
    <w:rsid w:val="00731E8C"/>
    <w:rsid w:val="007320F4"/>
    <w:rsid w:val="0073527A"/>
    <w:rsid w:val="00743E37"/>
    <w:rsid w:val="00744633"/>
    <w:rsid w:val="007448A2"/>
    <w:rsid w:val="007457E0"/>
    <w:rsid w:val="00750661"/>
    <w:rsid w:val="00754C3A"/>
    <w:rsid w:val="00754E43"/>
    <w:rsid w:val="00756F8B"/>
    <w:rsid w:val="007614FF"/>
    <w:rsid w:val="007616EE"/>
    <w:rsid w:val="00761847"/>
    <w:rsid w:val="007627AE"/>
    <w:rsid w:val="00766D54"/>
    <w:rsid w:val="007701FB"/>
    <w:rsid w:val="00772402"/>
    <w:rsid w:val="00774169"/>
    <w:rsid w:val="007741F3"/>
    <w:rsid w:val="00776DED"/>
    <w:rsid w:val="00777DC5"/>
    <w:rsid w:val="007810C9"/>
    <w:rsid w:val="0078365A"/>
    <w:rsid w:val="00784767"/>
    <w:rsid w:val="007934F9"/>
    <w:rsid w:val="007A00D9"/>
    <w:rsid w:val="007A068B"/>
    <w:rsid w:val="007A2456"/>
    <w:rsid w:val="007A346D"/>
    <w:rsid w:val="007A3C95"/>
    <w:rsid w:val="007A659A"/>
    <w:rsid w:val="007A67C5"/>
    <w:rsid w:val="007A7743"/>
    <w:rsid w:val="007B6F78"/>
    <w:rsid w:val="007B7B02"/>
    <w:rsid w:val="007C1559"/>
    <w:rsid w:val="007C1620"/>
    <w:rsid w:val="007C26F6"/>
    <w:rsid w:val="007C399B"/>
    <w:rsid w:val="007C539A"/>
    <w:rsid w:val="007C589B"/>
    <w:rsid w:val="007C7D61"/>
    <w:rsid w:val="007D1805"/>
    <w:rsid w:val="007D1C39"/>
    <w:rsid w:val="007D373E"/>
    <w:rsid w:val="007E3EFA"/>
    <w:rsid w:val="007E4509"/>
    <w:rsid w:val="007E655C"/>
    <w:rsid w:val="007E78EF"/>
    <w:rsid w:val="007F04F7"/>
    <w:rsid w:val="008003C0"/>
    <w:rsid w:val="00807E73"/>
    <w:rsid w:val="00814999"/>
    <w:rsid w:val="0081687F"/>
    <w:rsid w:val="00816A23"/>
    <w:rsid w:val="00817C3E"/>
    <w:rsid w:val="00821337"/>
    <w:rsid w:val="008214D6"/>
    <w:rsid w:val="008316EA"/>
    <w:rsid w:val="00833F1C"/>
    <w:rsid w:val="0083418C"/>
    <w:rsid w:val="00843B42"/>
    <w:rsid w:val="00843FB7"/>
    <w:rsid w:val="00845827"/>
    <w:rsid w:val="00850EB9"/>
    <w:rsid w:val="00852326"/>
    <w:rsid w:val="00853CC8"/>
    <w:rsid w:val="00853CEB"/>
    <w:rsid w:val="00864A0A"/>
    <w:rsid w:val="00865449"/>
    <w:rsid w:val="008663C4"/>
    <w:rsid w:val="00866EED"/>
    <w:rsid w:val="008703F2"/>
    <w:rsid w:val="00880F29"/>
    <w:rsid w:val="00884812"/>
    <w:rsid w:val="00885537"/>
    <w:rsid w:val="00885DCE"/>
    <w:rsid w:val="008909A7"/>
    <w:rsid w:val="008A0E93"/>
    <w:rsid w:val="008A1909"/>
    <w:rsid w:val="008A2A35"/>
    <w:rsid w:val="008A3886"/>
    <w:rsid w:val="008A457E"/>
    <w:rsid w:val="008A4AE7"/>
    <w:rsid w:val="008A77AB"/>
    <w:rsid w:val="008B3060"/>
    <w:rsid w:val="008B4ACA"/>
    <w:rsid w:val="008B6F55"/>
    <w:rsid w:val="008B7E69"/>
    <w:rsid w:val="008C25D2"/>
    <w:rsid w:val="008C3201"/>
    <w:rsid w:val="008C3695"/>
    <w:rsid w:val="008D07A1"/>
    <w:rsid w:val="008D2B46"/>
    <w:rsid w:val="008D44B7"/>
    <w:rsid w:val="008E16B9"/>
    <w:rsid w:val="008E4D7F"/>
    <w:rsid w:val="008F26F8"/>
    <w:rsid w:val="008F5217"/>
    <w:rsid w:val="00901229"/>
    <w:rsid w:val="00901389"/>
    <w:rsid w:val="009035BA"/>
    <w:rsid w:val="0091069B"/>
    <w:rsid w:val="009127ED"/>
    <w:rsid w:val="00927410"/>
    <w:rsid w:val="0093022F"/>
    <w:rsid w:val="00931970"/>
    <w:rsid w:val="00933AF5"/>
    <w:rsid w:val="00935327"/>
    <w:rsid w:val="009405B3"/>
    <w:rsid w:val="009419C4"/>
    <w:rsid w:val="0094325C"/>
    <w:rsid w:val="00944AAD"/>
    <w:rsid w:val="00961791"/>
    <w:rsid w:val="009726D0"/>
    <w:rsid w:val="00972BB3"/>
    <w:rsid w:val="009814FE"/>
    <w:rsid w:val="00982972"/>
    <w:rsid w:val="0098410C"/>
    <w:rsid w:val="00987721"/>
    <w:rsid w:val="00992FF5"/>
    <w:rsid w:val="009934CD"/>
    <w:rsid w:val="009961AB"/>
    <w:rsid w:val="00997B4D"/>
    <w:rsid w:val="009A2349"/>
    <w:rsid w:val="009A2E1A"/>
    <w:rsid w:val="009A2E5D"/>
    <w:rsid w:val="009A6CDA"/>
    <w:rsid w:val="009B26A0"/>
    <w:rsid w:val="009B2C58"/>
    <w:rsid w:val="009B4FF7"/>
    <w:rsid w:val="009C1E69"/>
    <w:rsid w:val="009C2674"/>
    <w:rsid w:val="009C7F98"/>
    <w:rsid w:val="009D0A41"/>
    <w:rsid w:val="009D2ADF"/>
    <w:rsid w:val="009E3FF9"/>
    <w:rsid w:val="009E4BF4"/>
    <w:rsid w:val="00A01B22"/>
    <w:rsid w:val="00A04761"/>
    <w:rsid w:val="00A066C2"/>
    <w:rsid w:val="00A12870"/>
    <w:rsid w:val="00A1731C"/>
    <w:rsid w:val="00A25350"/>
    <w:rsid w:val="00A25E66"/>
    <w:rsid w:val="00A35107"/>
    <w:rsid w:val="00A37839"/>
    <w:rsid w:val="00A440E1"/>
    <w:rsid w:val="00A46599"/>
    <w:rsid w:val="00A5396A"/>
    <w:rsid w:val="00A576F5"/>
    <w:rsid w:val="00A61894"/>
    <w:rsid w:val="00A704DF"/>
    <w:rsid w:val="00A70C1F"/>
    <w:rsid w:val="00A72D2D"/>
    <w:rsid w:val="00A73746"/>
    <w:rsid w:val="00A74899"/>
    <w:rsid w:val="00A81494"/>
    <w:rsid w:val="00A84811"/>
    <w:rsid w:val="00A86CF3"/>
    <w:rsid w:val="00A9183C"/>
    <w:rsid w:val="00A921DE"/>
    <w:rsid w:val="00A95B87"/>
    <w:rsid w:val="00A95C98"/>
    <w:rsid w:val="00A96BCD"/>
    <w:rsid w:val="00AA1A1F"/>
    <w:rsid w:val="00AA68D3"/>
    <w:rsid w:val="00AA7E1D"/>
    <w:rsid w:val="00AB2B21"/>
    <w:rsid w:val="00AB3F41"/>
    <w:rsid w:val="00AB473A"/>
    <w:rsid w:val="00AB4C41"/>
    <w:rsid w:val="00AB6332"/>
    <w:rsid w:val="00AC0CAB"/>
    <w:rsid w:val="00AC328C"/>
    <w:rsid w:val="00AC60DF"/>
    <w:rsid w:val="00AC6A1A"/>
    <w:rsid w:val="00AD64F1"/>
    <w:rsid w:val="00AD664A"/>
    <w:rsid w:val="00AD6C14"/>
    <w:rsid w:val="00AD6CC2"/>
    <w:rsid w:val="00AD73ED"/>
    <w:rsid w:val="00AE1970"/>
    <w:rsid w:val="00AE2DEC"/>
    <w:rsid w:val="00AE37EB"/>
    <w:rsid w:val="00AE58CA"/>
    <w:rsid w:val="00AE63D9"/>
    <w:rsid w:val="00AE6B1A"/>
    <w:rsid w:val="00AE730A"/>
    <w:rsid w:val="00AF2A49"/>
    <w:rsid w:val="00AF3F57"/>
    <w:rsid w:val="00AF6DCB"/>
    <w:rsid w:val="00B00F06"/>
    <w:rsid w:val="00B03879"/>
    <w:rsid w:val="00B04D4D"/>
    <w:rsid w:val="00B05FAC"/>
    <w:rsid w:val="00B14ADA"/>
    <w:rsid w:val="00B202FC"/>
    <w:rsid w:val="00B223CF"/>
    <w:rsid w:val="00B36613"/>
    <w:rsid w:val="00B40225"/>
    <w:rsid w:val="00B407B6"/>
    <w:rsid w:val="00B4429F"/>
    <w:rsid w:val="00B46B42"/>
    <w:rsid w:val="00B518D3"/>
    <w:rsid w:val="00B51B98"/>
    <w:rsid w:val="00B5596C"/>
    <w:rsid w:val="00B56BAD"/>
    <w:rsid w:val="00B6487E"/>
    <w:rsid w:val="00B6674D"/>
    <w:rsid w:val="00B70DE3"/>
    <w:rsid w:val="00B7434E"/>
    <w:rsid w:val="00B810A2"/>
    <w:rsid w:val="00B85CB1"/>
    <w:rsid w:val="00B8731D"/>
    <w:rsid w:val="00B87B33"/>
    <w:rsid w:val="00B905AD"/>
    <w:rsid w:val="00B91AE0"/>
    <w:rsid w:val="00B92727"/>
    <w:rsid w:val="00B9725C"/>
    <w:rsid w:val="00B977F1"/>
    <w:rsid w:val="00BA0716"/>
    <w:rsid w:val="00BA0B8D"/>
    <w:rsid w:val="00BA5E2C"/>
    <w:rsid w:val="00BB10D9"/>
    <w:rsid w:val="00BB12D6"/>
    <w:rsid w:val="00BB132D"/>
    <w:rsid w:val="00BB6674"/>
    <w:rsid w:val="00BC31FC"/>
    <w:rsid w:val="00BC3B5C"/>
    <w:rsid w:val="00BC5C07"/>
    <w:rsid w:val="00BC5C2F"/>
    <w:rsid w:val="00BC69DD"/>
    <w:rsid w:val="00BD0679"/>
    <w:rsid w:val="00BD067F"/>
    <w:rsid w:val="00BD06B0"/>
    <w:rsid w:val="00BD4059"/>
    <w:rsid w:val="00BD4B70"/>
    <w:rsid w:val="00BE028F"/>
    <w:rsid w:val="00BE19B8"/>
    <w:rsid w:val="00BE3981"/>
    <w:rsid w:val="00BE4AD7"/>
    <w:rsid w:val="00BE551B"/>
    <w:rsid w:val="00BE7677"/>
    <w:rsid w:val="00BF2FE4"/>
    <w:rsid w:val="00BF41E7"/>
    <w:rsid w:val="00C00207"/>
    <w:rsid w:val="00C0202F"/>
    <w:rsid w:val="00C11C33"/>
    <w:rsid w:val="00C25D68"/>
    <w:rsid w:val="00C25DC6"/>
    <w:rsid w:val="00C345E1"/>
    <w:rsid w:val="00C35471"/>
    <w:rsid w:val="00C46B4D"/>
    <w:rsid w:val="00C4796A"/>
    <w:rsid w:val="00C511A6"/>
    <w:rsid w:val="00C52919"/>
    <w:rsid w:val="00C53028"/>
    <w:rsid w:val="00C53209"/>
    <w:rsid w:val="00C575FB"/>
    <w:rsid w:val="00C722E3"/>
    <w:rsid w:val="00C749AA"/>
    <w:rsid w:val="00C74C26"/>
    <w:rsid w:val="00C766CA"/>
    <w:rsid w:val="00C76B1C"/>
    <w:rsid w:val="00C773B4"/>
    <w:rsid w:val="00C77DB8"/>
    <w:rsid w:val="00C810C3"/>
    <w:rsid w:val="00C85A22"/>
    <w:rsid w:val="00C91C12"/>
    <w:rsid w:val="00C93188"/>
    <w:rsid w:val="00C96C89"/>
    <w:rsid w:val="00CA058E"/>
    <w:rsid w:val="00CA4FF1"/>
    <w:rsid w:val="00CA7F32"/>
    <w:rsid w:val="00CB7203"/>
    <w:rsid w:val="00CC347F"/>
    <w:rsid w:val="00CD26F7"/>
    <w:rsid w:val="00CD2CAE"/>
    <w:rsid w:val="00CD325C"/>
    <w:rsid w:val="00CD6715"/>
    <w:rsid w:val="00CE22CD"/>
    <w:rsid w:val="00CE34AB"/>
    <w:rsid w:val="00CE5523"/>
    <w:rsid w:val="00CE6BE6"/>
    <w:rsid w:val="00CF3327"/>
    <w:rsid w:val="00CF3433"/>
    <w:rsid w:val="00CF63B6"/>
    <w:rsid w:val="00CF6550"/>
    <w:rsid w:val="00D005F9"/>
    <w:rsid w:val="00D02C12"/>
    <w:rsid w:val="00D02DA4"/>
    <w:rsid w:val="00D06973"/>
    <w:rsid w:val="00D153E1"/>
    <w:rsid w:val="00D2071A"/>
    <w:rsid w:val="00D27433"/>
    <w:rsid w:val="00D32571"/>
    <w:rsid w:val="00D353E0"/>
    <w:rsid w:val="00D40440"/>
    <w:rsid w:val="00D41C95"/>
    <w:rsid w:val="00D433CB"/>
    <w:rsid w:val="00D45CF9"/>
    <w:rsid w:val="00D46574"/>
    <w:rsid w:val="00D47C58"/>
    <w:rsid w:val="00D5208D"/>
    <w:rsid w:val="00D527F7"/>
    <w:rsid w:val="00D52818"/>
    <w:rsid w:val="00D53BCF"/>
    <w:rsid w:val="00D54D12"/>
    <w:rsid w:val="00D57A4F"/>
    <w:rsid w:val="00D64151"/>
    <w:rsid w:val="00D6769E"/>
    <w:rsid w:val="00D7019F"/>
    <w:rsid w:val="00D708D0"/>
    <w:rsid w:val="00D73247"/>
    <w:rsid w:val="00D803AE"/>
    <w:rsid w:val="00D80F80"/>
    <w:rsid w:val="00D852D2"/>
    <w:rsid w:val="00D9086E"/>
    <w:rsid w:val="00D915BF"/>
    <w:rsid w:val="00D9453D"/>
    <w:rsid w:val="00D95188"/>
    <w:rsid w:val="00D95277"/>
    <w:rsid w:val="00D970F6"/>
    <w:rsid w:val="00DA5A8D"/>
    <w:rsid w:val="00DA7ED8"/>
    <w:rsid w:val="00DB358C"/>
    <w:rsid w:val="00DC13D5"/>
    <w:rsid w:val="00DC3906"/>
    <w:rsid w:val="00DC48F1"/>
    <w:rsid w:val="00DC5634"/>
    <w:rsid w:val="00DC6DCB"/>
    <w:rsid w:val="00DD01BB"/>
    <w:rsid w:val="00DD23B1"/>
    <w:rsid w:val="00DD5F7A"/>
    <w:rsid w:val="00DD7219"/>
    <w:rsid w:val="00DD752B"/>
    <w:rsid w:val="00DE0BBB"/>
    <w:rsid w:val="00DE0ED8"/>
    <w:rsid w:val="00DF4127"/>
    <w:rsid w:val="00DF42AB"/>
    <w:rsid w:val="00E03AEF"/>
    <w:rsid w:val="00E041FF"/>
    <w:rsid w:val="00E067FC"/>
    <w:rsid w:val="00E06921"/>
    <w:rsid w:val="00E1273A"/>
    <w:rsid w:val="00E13308"/>
    <w:rsid w:val="00E149DA"/>
    <w:rsid w:val="00E24AC6"/>
    <w:rsid w:val="00E24B2F"/>
    <w:rsid w:val="00E2541F"/>
    <w:rsid w:val="00E25796"/>
    <w:rsid w:val="00E31F26"/>
    <w:rsid w:val="00E3613B"/>
    <w:rsid w:val="00E418D0"/>
    <w:rsid w:val="00E41C34"/>
    <w:rsid w:val="00E47393"/>
    <w:rsid w:val="00E47C6C"/>
    <w:rsid w:val="00E47EBB"/>
    <w:rsid w:val="00E5066B"/>
    <w:rsid w:val="00E5152F"/>
    <w:rsid w:val="00E52DB3"/>
    <w:rsid w:val="00E543BD"/>
    <w:rsid w:val="00E61281"/>
    <w:rsid w:val="00E651DE"/>
    <w:rsid w:val="00E66137"/>
    <w:rsid w:val="00E66B86"/>
    <w:rsid w:val="00E66CF5"/>
    <w:rsid w:val="00E83308"/>
    <w:rsid w:val="00E84904"/>
    <w:rsid w:val="00E86A7A"/>
    <w:rsid w:val="00E94C06"/>
    <w:rsid w:val="00E951EA"/>
    <w:rsid w:val="00EA5829"/>
    <w:rsid w:val="00EA6E01"/>
    <w:rsid w:val="00EB3B58"/>
    <w:rsid w:val="00EB4500"/>
    <w:rsid w:val="00EB5BB7"/>
    <w:rsid w:val="00EB5DC9"/>
    <w:rsid w:val="00EC043C"/>
    <w:rsid w:val="00EC16A0"/>
    <w:rsid w:val="00EC2142"/>
    <w:rsid w:val="00EC415C"/>
    <w:rsid w:val="00EC4C61"/>
    <w:rsid w:val="00EC6578"/>
    <w:rsid w:val="00ED046A"/>
    <w:rsid w:val="00ED2900"/>
    <w:rsid w:val="00ED370E"/>
    <w:rsid w:val="00ED609C"/>
    <w:rsid w:val="00EE5F61"/>
    <w:rsid w:val="00EE6269"/>
    <w:rsid w:val="00EF0B6A"/>
    <w:rsid w:val="00EF195C"/>
    <w:rsid w:val="00EF31E9"/>
    <w:rsid w:val="00EF6C88"/>
    <w:rsid w:val="00F02D5F"/>
    <w:rsid w:val="00F110FE"/>
    <w:rsid w:val="00F156F7"/>
    <w:rsid w:val="00F16835"/>
    <w:rsid w:val="00F1745E"/>
    <w:rsid w:val="00F2004D"/>
    <w:rsid w:val="00F20392"/>
    <w:rsid w:val="00F253FC"/>
    <w:rsid w:val="00F26EC9"/>
    <w:rsid w:val="00F27BD4"/>
    <w:rsid w:val="00F30C42"/>
    <w:rsid w:val="00F30D3C"/>
    <w:rsid w:val="00F324E8"/>
    <w:rsid w:val="00F373C1"/>
    <w:rsid w:val="00F44F7A"/>
    <w:rsid w:val="00F511D3"/>
    <w:rsid w:val="00F66CA9"/>
    <w:rsid w:val="00F75F74"/>
    <w:rsid w:val="00F764AC"/>
    <w:rsid w:val="00F7693A"/>
    <w:rsid w:val="00F81D42"/>
    <w:rsid w:val="00F83BFE"/>
    <w:rsid w:val="00F84567"/>
    <w:rsid w:val="00F85608"/>
    <w:rsid w:val="00F86245"/>
    <w:rsid w:val="00F86F80"/>
    <w:rsid w:val="00F907C0"/>
    <w:rsid w:val="00F9091C"/>
    <w:rsid w:val="00FA1659"/>
    <w:rsid w:val="00FB0330"/>
    <w:rsid w:val="00FB1395"/>
    <w:rsid w:val="00FB4BF4"/>
    <w:rsid w:val="00FB57ED"/>
    <w:rsid w:val="00FB765D"/>
    <w:rsid w:val="00FB7EFA"/>
    <w:rsid w:val="00FB7F27"/>
    <w:rsid w:val="00FC17F5"/>
    <w:rsid w:val="00FC2BBB"/>
    <w:rsid w:val="00FC2D45"/>
    <w:rsid w:val="00FC398A"/>
    <w:rsid w:val="00FD499D"/>
    <w:rsid w:val="00FD5B87"/>
    <w:rsid w:val="00FE0912"/>
    <w:rsid w:val="00FE1C41"/>
    <w:rsid w:val="00FE3A90"/>
    <w:rsid w:val="00FE66E0"/>
    <w:rsid w:val="00FE6EA4"/>
    <w:rsid w:val="00FF3921"/>
    <w:rsid w:val="00FF3C84"/>
    <w:rsid w:val="00FF40B1"/>
    <w:rsid w:val="00FF48A7"/>
    <w:rsid w:val="00FF6EC2"/>
    <w:rsid w:val="00FF7C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E9D8C6"/>
  <w15:docId w15:val="{3B27C018-C431-4F19-9169-2E640283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73E"/>
    <w:pPr>
      <w:overflowPunct w:val="0"/>
      <w:autoSpaceDE w:val="0"/>
      <w:autoSpaceDN w:val="0"/>
      <w:adjustRightInd w:val="0"/>
      <w:jc w:val="both"/>
      <w:textAlignment w:val="baseline"/>
    </w:pPr>
    <w:rPr>
      <w:sz w:val="24"/>
      <w:szCs w:val="24"/>
      <w:lang w:val="en-US" w:eastAsia="en-US"/>
    </w:rPr>
  </w:style>
  <w:style w:type="paragraph" w:styleId="Balk1">
    <w:name w:val="heading 1"/>
    <w:basedOn w:val="Normal"/>
    <w:next w:val="Normal"/>
    <w:link w:val="Balk1Char"/>
    <w:qFormat/>
    <w:rsid w:val="007D373E"/>
    <w:pPr>
      <w:keepNext/>
      <w:jc w:val="left"/>
      <w:outlineLvl w:val="0"/>
    </w:pPr>
    <w:rPr>
      <w:b/>
      <w:bCs/>
      <w:caps/>
      <w:kern w:val="28"/>
      <w:sz w:val="28"/>
      <w:szCs w:val="28"/>
    </w:rPr>
  </w:style>
  <w:style w:type="paragraph" w:styleId="Balk2">
    <w:name w:val="heading 2"/>
    <w:basedOn w:val="Normal"/>
    <w:next w:val="Normal"/>
    <w:qFormat/>
    <w:rsid w:val="007D373E"/>
    <w:pPr>
      <w:keepNext/>
      <w:spacing w:before="60" w:after="60"/>
      <w:jc w:val="left"/>
      <w:outlineLvl w:val="1"/>
    </w:pPr>
    <w:rPr>
      <w:b/>
      <w:bCs/>
    </w:rPr>
  </w:style>
  <w:style w:type="paragraph" w:styleId="Balk3">
    <w:name w:val="heading 3"/>
    <w:basedOn w:val="Normal"/>
    <w:next w:val="Normal"/>
    <w:qFormat/>
    <w:rsid w:val="007D373E"/>
    <w:pPr>
      <w:keepNext/>
      <w:jc w:val="cente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RML">
    <w:name w:val="FORMÜL"/>
    <w:basedOn w:val="Normal"/>
    <w:rsid w:val="007D373E"/>
    <w:pPr>
      <w:tabs>
        <w:tab w:val="left" w:pos="2892"/>
        <w:tab w:val="left" w:pos="2948"/>
        <w:tab w:val="decimal" w:pos="6804"/>
        <w:tab w:val="left" w:pos="7088"/>
      </w:tabs>
      <w:spacing w:before="120" w:after="60"/>
    </w:pPr>
    <w:rPr>
      <w:noProof/>
      <w:sz w:val="20"/>
      <w:szCs w:val="20"/>
    </w:rPr>
  </w:style>
  <w:style w:type="paragraph" w:customStyle="1" w:styleId="P1">
    <w:name w:val="P1"/>
    <w:rsid w:val="007D373E"/>
    <w:pPr>
      <w:overflowPunct w:val="0"/>
      <w:autoSpaceDE w:val="0"/>
      <w:autoSpaceDN w:val="0"/>
      <w:adjustRightInd w:val="0"/>
      <w:spacing w:before="120" w:after="120"/>
      <w:jc w:val="both"/>
      <w:textAlignment w:val="baseline"/>
    </w:pPr>
    <w:rPr>
      <w:noProof/>
      <w:sz w:val="24"/>
      <w:szCs w:val="24"/>
      <w:lang w:val="en-US" w:eastAsia="en-US"/>
    </w:rPr>
  </w:style>
  <w:style w:type="paragraph" w:customStyle="1" w:styleId="Kaynak">
    <w:name w:val="Kaynak"/>
    <w:basedOn w:val="P1"/>
    <w:rsid w:val="007D373E"/>
    <w:pPr>
      <w:ind w:left="397" w:hanging="397"/>
    </w:pPr>
  </w:style>
  <w:style w:type="character" w:styleId="DipnotBavurusu">
    <w:name w:val="footnote reference"/>
    <w:semiHidden/>
    <w:rsid w:val="007D373E"/>
    <w:rPr>
      <w:vertAlign w:val="superscript"/>
    </w:rPr>
  </w:style>
  <w:style w:type="paragraph" w:customStyle="1" w:styleId="p2">
    <w:name w:val="p2"/>
    <w:basedOn w:val="P1"/>
    <w:rsid w:val="007D373E"/>
  </w:style>
  <w:style w:type="paragraph" w:customStyle="1" w:styleId="Figure">
    <w:name w:val="Figure"/>
    <w:basedOn w:val="p2"/>
    <w:rsid w:val="007D373E"/>
    <w:pPr>
      <w:ind w:left="720" w:hanging="720"/>
      <w:jc w:val="center"/>
    </w:pPr>
    <w:rPr>
      <w:sz w:val="20"/>
      <w:szCs w:val="20"/>
    </w:rPr>
  </w:style>
  <w:style w:type="paragraph" w:styleId="DipnotMetni">
    <w:name w:val="footnote text"/>
    <w:basedOn w:val="Normal"/>
    <w:link w:val="DipnotMetniChar"/>
    <w:semiHidden/>
    <w:rsid w:val="007D373E"/>
    <w:pPr>
      <w:jc w:val="left"/>
    </w:pPr>
    <w:rPr>
      <w:sz w:val="20"/>
      <w:szCs w:val="20"/>
    </w:rPr>
  </w:style>
  <w:style w:type="character" w:styleId="SayfaNumaras">
    <w:name w:val="page number"/>
    <w:basedOn w:val="VarsaylanParagrafYazTipi"/>
    <w:rsid w:val="007D373E"/>
  </w:style>
  <w:style w:type="paragraph" w:styleId="KonuBal">
    <w:name w:val="Title"/>
    <w:basedOn w:val="Normal"/>
    <w:qFormat/>
    <w:rsid w:val="007D373E"/>
    <w:pPr>
      <w:jc w:val="center"/>
    </w:pPr>
    <w:rPr>
      <w:rFonts w:ascii="Arial Narrow" w:hAnsi="Arial Narrow" w:cs="Arial Narrow"/>
      <w:b/>
      <w:bCs/>
      <w:sz w:val="28"/>
      <w:szCs w:val="28"/>
    </w:rPr>
  </w:style>
  <w:style w:type="character" w:styleId="Kpr">
    <w:name w:val="Hyperlink"/>
    <w:rsid w:val="007D373E"/>
    <w:rPr>
      <w:color w:val="0000FF"/>
      <w:u w:val="single"/>
    </w:rPr>
  </w:style>
  <w:style w:type="paragraph" w:customStyle="1" w:styleId="Tablecaption">
    <w:name w:val="Table caption"/>
    <w:basedOn w:val="Normal"/>
    <w:next w:val="Normal"/>
    <w:rsid w:val="00443814"/>
    <w:pPr>
      <w:overflowPunct/>
      <w:autoSpaceDE/>
      <w:autoSpaceDN/>
      <w:adjustRightInd/>
      <w:spacing w:line="220" w:lineRule="exact"/>
      <w:jc w:val="left"/>
      <w:textAlignment w:val="auto"/>
    </w:pPr>
    <w:rPr>
      <w:sz w:val="16"/>
      <w:szCs w:val="16"/>
    </w:rPr>
  </w:style>
  <w:style w:type="paragraph" w:customStyle="1" w:styleId="Tabletext">
    <w:name w:val="Table text"/>
    <w:basedOn w:val="Normal"/>
    <w:rsid w:val="00443814"/>
    <w:pPr>
      <w:overflowPunct/>
      <w:autoSpaceDE/>
      <w:autoSpaceDN/>
      <w:adjustRightInd/>
      <w:spacing w:line="220" w:lineRule="exact"/>
      <w:jc w:val="left"/>
      <w:textAlignment w:val="auto"/>
    </w:pPr>
    <w:rPr>
      <w:sz w:val="20"/>
      <w:szCs w:val="20"/>
    </w:rPr>
  </w:style>
  <w:style w:type="paragraph" w:styleId="GvdeMetni3">
    <w:name w:val="Body Text 3"/>
    <w:basedOn w:val="Normal"/>
    <w:rsid w:val="00CD6715"/>
    <w:pPr>
      <w:overflowPunct/>
      <w:autoSpaceDE/>
      <w:autoSpaceDN/>
      <w:adjustRightInd/>
      <w:jc w:val="center"/>
      <w:textAlignment w:val="auto"/>
    </w:pPr>
    <w:rPr>
      <w:sz w:val="20"/>
      <w:szCs w:val="20"/>
    </w:rPr>
  </w:style>
  <w:style w:type="paragraph" w:styleId="GvdeMetni">
    <w:name w:val="Body Text"/>
    <w:basedOn w:val="Normal"/>
    <w:link w:val="GvdeMetniChar"/>
    <w:rsid w:val="00441E46"/>
    <w:pPr>
      <w:spacing w:after="120"/>
    </w:pPr>
  </w:style>
  <w:style w:type="character" w:styleId="Gl">
    <w:name w:val="Strong"/>
    <w:uiPriority w:val="22"/>
    <w:qFormat/>
    <w:rsid w:val="003D3E9C"/>
    <w:rPr>
      <w:b/>
      <w:bCs/>
    </w:rPr>
  </w:style>
  <w:style w:type="character" w:customStyle="1" w:styleId="databold1">
    <w:name w:val="data_bold1"/>
    <w:rsid w:val="00F156F7"/>
    <w:rPr>
      <w:b/>
      <w:bCs/>
    </w:rPr>
  </w:style>
  <w:style w:type="paragraph" w:styleId="BalonMetni">
    <w:name w:val="Balloon Text"/>
    <w:basedOn w:val="Normal"/>
    <w:link w:val="BalonMetniChar"/>
    <w:rsid w:val="000E60B2"/>
    <w:rPr>
      <w:rFonts w:ascii="Tahoma" w:hAnsi="Tahoma" w:cs="Tahoma"/>
      <w:sz w:val="16"/>
      <w:szCs w:val="16"/>
    </w:rPr>
  </w:style>
  <w:style w:type="character" w:customStyle="1" w:styleId="BalonMetniChar">
    <w:name w:val="Balon Metni Char"/>
    <w:link w:val="BalonMetni"/>
    <w:rsid w:val="000E60B2"/>
    <w:rPr>
      <w:rFonts w:ascii="Tahoma" w:hAnsi="Tahoma" w:cs="Tahoma"/>
      <w:sz w:val="16"/>
      <w:szCs w:val="16"/>
      <w:lang w:val="en-US" w:eastAsia="en-US"/>
    </w:rPr>
  </w:style>
  <w:style w:type="paragraph" w:styleId="ListeParagraf">
    <w:name w:val="List Paragraph"/>
    <w:basedOn w:val="Normal"/>
    <w:uiPriority w:val="99"/>
    <w:qFormat/>
    <w:rsid w:val="007457E0"/>
    <w:pPr>
      <w:overflowPunct/>
      <w:autoSpaceDE/>
      <w:autoSpaceDN/>
      <w:adjustRightInd/>
      <w:ind w:left="720"/>
      <w:contextualSpacing/>
      <w:jc w:val="left"/>
      <w:textAlignment w:val="auto"/>
    </w:pPr>
    <w:rPr>
      <w:rFonts w:ascii="Calibri" w:hAnsi="Calibri"/>
      <w:sz w:val="22"/>
      <w:szCs w:val="22"/>
      <w:lang w:val="tr-TR" w:eastAsia="tr-TR"/>
    </w:rPr>
  </w:style>
  <w:style w:type="paragraph" w:styleId="stBilgi">
    <w:name w:val="header"/>
    <w:basedOn w:val="Normal"/>
    <w:link w:val="stBilgiChar"/>
    <w:uiPriority w:val="99"/>
    <w:rsid w:val="00C96C89"/>
    <w:pPr>
      <w:tabs>
        <w:tab w:val="center" w:pos="4536"/>
        <w:tab w:val="right" w:pos="9072"/>
      </w:tabs>
    </w:pPr>
  </w:style>
  <w:style w:type="character" w:customStyle="1" w:styleId="stBilgiChar">
    <w:name w:val="Üst Bilgi Char"/>
    <w:link w:val="stBilgi"/>
    <w:uiPriority w:val="99"/>
    <w:rsid w:val="00C96C89"/>
    <w:rPr>
      <w:sz w:val="24"/>
      <w:szCs w:val="24"/>
      <w:lang w:val="en-US" w:eastAsia="en-US"/>
    </w:rPr>
  </w:style>
  <w:style w:type="paragraph" w:styleId="AltBilgi">
    <w:name w:val="footer"/>
    <w:basedOn w:val="Normal"/>
    <w:link w:val="AltBilgiChar"/>
    <w:uiPriority w:val="99"/>
    <w:rsid w:val="00C96C89"/>
    <w:pPr>
      <w:tabs>
        <w:tab w:val="center" w:pos="4536"/>
        <w:tab w:val="right" w:pos="9072"/>
      </w:tabs>
    </w:pPr>
  </w:style>
  <w:style w:type="character" w:customStyle="1" w:styleId="AltBilgiChar">
    <w:name w:val="Alt Bilgi Char"/>
    <w:link w:val="AltBilgi"/>
    <w:uiPriority w:val="99"/>
    <w:rsid w:val="00C96C89"/>
    <w:rPr>
      <w:sz w:val="24"/>
      <w:szCs w:val="24"/>
      <w:lang w:val="en-US" w:eastAsia="en-US"/>
    </w:rPr>
  </w:style>
  <w:style w:type="character" w:customStyle="1" w:styleId="apple-converted-space">
    <w:name w:val="apple-converted-space"/>
    <w:basedOn w:val="VarsaylanParagrafYazTipi"/>
    <w:rsid w:val="00404102"/>
  </w:style>
  <w:style w:type="character" w:customStyle="1" w:styleId="Balk1Char">
    <w:name w:val="Başlık 1 Char"/>
    <w:basedOn w:val="VarsaylanParagrafYazTipi"/>
    <w:link w:val="Balk1"/>
    <w:rsid w:val="00EE6269"/>
    <w:rPr>
      <w:b/>
      <w:bCs/>
      <w:caps/>
      <w:kern w:val="28"/>
      <w:sz w:val="28"/>
      <w:szCs w:val="28"/>
      <w:lang w:val="en-US" w:eastAsia="en-US"/>
    </w:rPr>
  </w:style>
  <w:style w:type="character" w:customStyle="1" w:styleId="GvdeMetniChar">
    <w:name w:val="Gövde Metni Char"/>
    <w:basedOn w:val="VarsaylanParagrafYazTipi"/>
    <w:link w:val="GvdeMetni"/>
    <w:rsid w:val="00500C7E"/>
    <w:rPr>
      <w:sz w:val="24"/>
      <w:szCs w:val="24"/>
      <w:lang w:val="en-US" w:eastAsia="en-US"/>
    </w:rPr>
  </w:style>
  <w:style w:type="character" w:styleId="Vurgu">
    <w:name w:val="Emphasis"/>
    <w:basedOn w:val="VarsaylanParagrafYazTipi"/>
    <w:uiPriority w:val="20"/>
    <w:qFormat/>
    <w:rsid w:val="00603EBC"/>
    <w:rPr>
      <w:i/>
      <w:iCs/>
    </w:rPr>
  </w:style>
  <w:style w:type="character" w:customStyle="1" w:styleId="DipnotMetniChar">
    <w:name w:val="Dipnot Metni Char"/>
    <w:basedOn w:val="VarsaylanParagrafYazTipi"/>
    <w:link w:val="DipnotMetni"/>
    <w:semiHidden/>
    <w:rsid w:val="00C85A22"/>
    <w:rPr>
      <w:lang w:val="en-US" w:eastAsia="en-US"/>
    </w:rPr>
  </w:style>
  <w:style w:type="character" w:customStyle="1" w:styleId="shorttext">
    <w:name w:val="short_text"/>
    <w:basedOn w:val="VarsaylanParagrafYazTipi"/>
    <w:rsid w:val="00421DAC"/>
  </w:style>
  <w:style w:type="character" w:customStyle="1" w:styleId="UnresolvedMention">
    <w:name w:val="Unresolved Mention"/>
    <w:basedOn w:val="VarsaylanParagrafYazTipi"/>
    <w:uiPriority w:val="99"/>
    <w:semiHidden/>
    <w:unhideWhenUsed/>
    <w:rsid w:val="008C25D2"/>
    <w:rPr>
      <w:color w:val="808080"/>
      <w:shd w:val="clear" w:color="auto" w:fill="E6E6E6"/>
    </w:rPr>
  </w:style>
  <w:style w:type="character" w:styleId="YerTutucuMetni">
    <w:name w:val="Placeholder Text"/>
    <w:basedOn w:val="VarsaylanParagrafYazTipi"/>
    <w:uiPriority w:val="99"/>
    <w:semiHidden/>
    <w:rsid w:val="007E3EFA"/>
    <w:rPr>
      <w:color w:val="808080"/>
    </w:rPr>
  </w:style>
  <w:style w:type="character" w:customStyle="1" w:styleId="gt-baf-word-clickable3">
    <w:name w:val="gt-baf-word-clickable3"/>
    <w:basedOn w:val="VarsaylanParagrafYazTipi"/>
    <w:rsid w:val="002700D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1068">
      <w:bodyDiv w:val="1"/>
      <w:marLeft w:val="0"/>
      <w:marRight w:val="0"/>
      <w:marTop w:val="0"/>
      <w:marBottom w:val="0"/>
      <w:divBdr>
        <w:top w:val="none" w:sz="0" w:space="0" w:color="auto"/>
        <w:left w:val="none" w:sz="0" w:space="0" w:color="auto"/>
        <w:bottom w:val="none" w:sz="0" w:space="0" w:color="auto"/>
        <w:right w:val="none" w:sz="0" w:space="0" w:color="auto"/>
      </w:divBdr>
    </w:div>
    <w:div w:id="85227374">
      <w:bodyDiv w:val="1"/>
      <w:marLeft w:val="0"/>
      <w:marRight w:val="0"/>
      <w:marTop w:val="0"/>
      <w:marBottom w:val="0"/>
      <w:divBdr>
        <w:top w:val="none" w:sz="0" w:space="0" w:color="auto"/>
        <w:left w:val="none" w:sz="0" w:space="0" w:color="auto"/>
        <w:bottom w:val="none" w:sz="0" w:space="0" w:color="auto"/>
        <w:right w:val="none" w:sz="0" w:space="0" w:color="auto"/>
      </w:divBdr>
    </w:div>
    <w:div w:id="86274325">
      <w:bodyDiv w:val="1"/>
      <w:marLeft w:val="0"/>
      <w:marRight w:val="0"/>
      <w:marTop w:val="0"/>
      <w:marBottom w:val="0"/>
      <w:divBdr>
        <w:top w:val="none" w:sz="0" w:space="0" w:color="auto"/>
        <w:left w:val="none" w:sz="0" w:space="0" w:color="auto"/>
        <w:bottom w:val="none" w:sz="0" w:space="0" w:color="auto"/>
        <w:right w:val="none" w:sz="0" w:space="0" w:color="auto"/>
      </w:divBdr>
    </w:div>
    <w:div w:id="159657880">
      <w:bodyDiv w:val="1"/>
      <w:marLeft w:val="0"/>
      <w:marRight w:val="0"/>
      <w:marTop w:val="0"/>
      <w:marBottom w:val="0"/>
      <w:divBdr>
        <w:top w:val="none" w:sz="0" w:space="0" w:color="auto"/>
        <w:left w:val="none" w:sz="0" w:space="0" w:color="auto"/>
        <w:bottom w:val="none" w:sz="0" w:space="0" w:color="auto"/>
        <w:right w:val="none" w:sz="0" w:space="0" w:color="auto"/>
      </w:divBdr>
    </w:div>
    <w:div w:id="232204171">
      <w:bodyDiv w:val="1"/>
      <w:marLeft w:val="0"/>
      <w:marRight w:val="0"/>
      <w:marTop w:val="0"/>
      <w:marBottom w:val="0"/>
      <w:divBdr>
        <w:top w:val="none" w:sz="0" w:space="0" w:color="auto"/>
        <w:left w:val="none" w:sz="0" w:space="0" w:color="auto"/>
        <w:bottom w:val="none" w:sz="0" w:space="0" w:color="auto"/>
        <w:right w:val="none" w:sz="0" w:space="0" w:color="auto"/>
      </w:divBdr>
      <w:divsChild>
        <w:div w:id="535391380">
          <w:marLeft w:val="240"/>
          <w:marRight w:val="240"/>
          <w:marTop w:val="0"/>
          <w:marBottom w:val="0"/>
          <w:divBdr>
            <w:top w:val="none" w:sz="0" w:space="0" w:color="auto"/>
            <w:left w:val="none" w:sz="0" w:space="0" w:color="auto"/>
            <w:bottom w:val="none" w:sz="0" w:space="0" w:color="auto"/>
            <w:right w:val="none" w:sz="0" w:space="0" w:color="auto"/>
          </w:divBdr>
          <w:divsChild>
            <w:div w:id="422336779">
              <w:marLeft w:val="0"/>
              <w:marRight w:val="0"/>
              <w:marTop w:val="0"/>
              <w:marBottom w:val="0"/>
              <w:divBdr>
                <w:top w:val="none" w:sz="0" w:space="0" w:color="auto"/>
                <w:left w:val="none" w:sz="0" w:space="0" w:color="auto"/>
                <w:bottom w:val="none" w:sz="0" w:space="0" w:color="auto"/>
                <w:right w:val="none" w:sz="0" w:space="0" w:color="auto"/>
              </w:divBdr>
              <w:divsChild>
                <w:div w:id="1322393823">
                  <w:marLeft w:val="0"/>
                  <w:marRight w:val="0"/>
                  <w:marTop w:val="0"/>
                  <w:marBottom w:val="0"/>
                  <w:divBdr>
                    <w:top w:val="none" w:sz="0" w:space="0" w:color="auto"/>
                    <w:left w:val="none" w:sz="0" w:space="0" w:color="auto"/>
                    <w:bottom w:val="none" w:sz="0" w:space="0" w:color="auto"/>
                    <w:right w:val="none" w:sz="0" w:space="0" w:color="auto"/>
                  </w:divBdr>
                  <w:divsChild>
                    <w:div w:id="1282305350">
                      <w:marLeft w:val="0"/>
                      <w:marRight w:val="0"/>
                      <w:marTop w:val="0"/>
                      <w:marBottom w:val="0"/>
                      <w:divBdr>
                        <w:top w:val="none" w:sz="0" w:space="0" w:color="auto"/>
                        <w:left w:val="none" w:sz="0" w:space="0" w:color="auto"/>
                        <w:bottom w:val="none" w:sz="0" w:space="0" w:color="auto"/>
                        <w:right w:val="none" w:sz="0" w:space="0" w:color="auto"/>
                      </w:divBdr>
                      <w:divsChild>
                        <w:div w:id="1349137303">
                          <w:marLeft w:val="0"/>
                          <w:marRight w:val="0"/>
                          <w:marTop w:val="0"/>
                          <w:marBottom w:val="0"/>
                          <w:divBdr>
                            <w:top w:val="none" w:sz="0" w:space="0" w:color="auto"/>
                            <w:left w:val="none" w:sz="0" w:space="0" w:color="auto"/>
                            <w:bottom w:val="none" w:sz="0" w:space="0" w:color="auto"/>
                            <w:right w:val="none" w:sz="0" w:space="0" w:color="auto"/>
                          </w:divBdr>
                          <w:divsChild>
                            <w:div w:id="715011234">
                              <w:marLeft w:val="0"/>
                              <w:marRight w:val="0"/>
                              <w:marTop w:val="0"/>
                              <w:marBottom w:val="0"/>
                              <w:divBdr>
                                <w:top w:val="none" w:sz="0" w:space="0" w:color="auto"/>
                                <w:left w:val="none" w:sz="0" w:space="0" w:color="auto"/>
                                <w:bottom w:val="none" w:sz="0" w:space="0" w:color="auto"/>
                                <w:right w:val="none" w:sz="0" w:space="0" w:color="auto"/>
                              </w:divBdr>
                              <w:divsChild>
                                <w:div w:id="634796954">
                                  <w:marLeft w:val="0"/>
                                  <w:marRight w:val="0"/>
                                  <w:marTop w:val="0"/>
                                  <w:marBottom w:val="0"/>
                                  <w:divBdr>
                                    <w:top w:val="none" w:sz="0" w:space="0" w:color="auto"/>
                                    <w:left w:val="none" w:sz="0" w:space="0" w:color="auto"/>
                                    <w:bottom w:val="none" w:sz="0" w:space="0" w:color="auto"/>
                                    <w:right w:val="none" w:sz="0" w:space="0" w:color="auto"/>
                                  </w:divBdr>
                                  <w:divsChild>
                                    <w:div w:id="1879007053">
                                      <w:marLeft w:val="0"/>
                                      <w:marRight w:val="0"/>
                                      <w:marTop w:val="0"/>
                                      <w:marBottom w:val="0"/>
                                      <w:divBdr>
                                        <w:top w:val="none" w:sz="0" w:space="0" w:color="auto"/>
                                        <w:left w:val="none" w:sz="0" w:space="0" w:color="auto"/>
                                        <w:bottom w:val="none" w:sz="0" w:space="0" w:color="auto"/>
                                        <w:right w:val="none" w:sz="0" w:space="0" w:color="auto"/>
                                      </w:divBdr>
                                      <w:divsChild>
                                        <w:div w:id="1176383965">
                                          <w:marLeft w:val="0"/>
                                          <w:marRight w:val="0"/>
                                          <w:marTop w:val="0"/>
                                          <w:marBottom w:val="0"/>
                                          <w:divBdr>
                                            <w:top w:val="none" w:sz="0" w:space="0" w:color="auto"/>
                                            <w:left w:val="none" w:sz="0" w:space="0" w:color="auto"/>
                                            <w:bottom w:val="none" w:sz="0" w:space="0" w:color="auto"/>
                                            <w:right w:val="none" w:sz="0" w:space="0" w:color="auto"/>
                                          </w:divBdr>
                                          <w:divsChild>
                                            <w:div w:id="798687747">
                                              <w:marLeft w:val="0"/>
                                              <w:marRight w:val="0"/>
                                              <w:marTop w:val="0"/>
                                              <w:marBottom w:val="0"/>
                                              <w:divBdr>
                                                <w:top w:val="none" w:sz="0" w:space="0" w:color="auto"/>
                                                <w:left w:val="none" w:sz="0" w:space="0" w:color="auto"/>
                                                <w:bottom w:val="none" w:sz="0" w:space="0" w:color="auto"/>
                                                <w:right w:val="none" w:sz="0" w:space="0" w:color="auto"/>
                                              </w:divBdr>
                                              <w:divsChild>
                                                <w:div w:id="2305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3842">
      <w:bodyDiv w:val="1"/>
      <w:marLeft w:val="0"/>
      <w:marRight w:val="0"/>
      <w:marTop w:val="0"/>
      <w:marBottom w:val="0"/>
      <w:divBdr>
        <w:top w:val="none" w:sz="0" w:space="0" w:color="auto"/>
        <w:left w:val="none" w:sz="0" w:space="0" w:color="auto"/>
        <w:bottom w:val="none" w:sz="0" w:space="0" w:color="auto"/>
        <w:right w:val="none" w:sz="0" w:space="0" w:color="auto"/>
      </w:divBdr>
    </w:div>
    <w:div w:id="351339241">
      <w:bodyDiv w:val="1"/>
      <w:marLeft w:val="0"/>
      <w:marRight w:val="0"/>
      <w:marTop w:val="0"/>
      <w:marBottom w:val="0"/>
      <w:divBdr>
        <w:top w:val="none" w:sz="0" w:space="0" w:color="auto"/>
        <w:left w:val="none" w:sz="0" w:space="0" w:color="auto"/>
        <w:bottom w:val="none" w:sz="0" w:space="0" w:color="auto"/>
        <w:right w:val="none" w:sz="0" w:space="0" w:color="auto"/>
      </w:divBdr>
    </w:div>
    <w:div w:id="483199372">
      <w:bodyDiv w:val="1"/>
      <w:marLeft w:val="0"/>
      <w:marRight w:val="0"/>
      <w:marTop w:val="0"/>
      <w:marBottom w:val="0"/>
      <w:divBdr>
        <w:top w:val="none" w:sz="0" w:space="0" w:color="auto"/>
        <w:left w:val="none" w:sz="0" w:space="0" w:color="auto"/>
        <w:bottom w:val="none" w:sz="0" w:space="0" w:color="auto"/>
        <w:right w:val="none" w:sz="0" w:space="0" w:color="auto"/>
      </w:divBdr>
    </w:div>
    <w:div w:id="490826962">
      <w:bodyDiv w:val="1"/>
      <w:marLeft w:val="0"/>
      <w:marRight w:val="0"/>
      <w:marTop w:val="0"/>
      <w:marBottom w:val="0"/>
      <w:divBdr>
        <w:top w:val="none" w:sz="0" w:space="0" w:color="auto"/>
        <w:left w:val="none" w:sz="0" w:space="0" w:color="auto"/>
        <w:bottom w:val="none" w:sz="0" w:space="0" w:color="auto"/>
        <w:right w:val="none" w:sz="0" w:space="0" w:color="auto"/>
      </w:divBdr>
    </w:div>
    <w:div w:id="588776628">
      <w:bodyDiv w:val="1"/>
      <w:marLeft w:val="0"/>
      <w:marRight w:val="0"/>
      <w:marTop w:val="0"/>
      <w:marBottom w:val="0"/>
      <w:divBdr>
        <w:top w:val="none" w:sz="0" w:space="0" w:color="auto"/>
        <w:left w:val="none" w:sz="0" w:space="0" w:color="auto"/>
        <w:bottom w:val="none" w:sz="0" w:space="0" w:color="auto"/>
        <w:right w:val="none" w:sz="0" w:space="0" w:color="auto"/>
      </w:divBdr>
    </w:div>
    <w:div w:id="602297465">
      <w:bodyDiv w:val="1"/>
      <w:marLeft w:val="0"/>
      <w:marRight w:val="0"/>
      <w:marTop w:val="0"/>
      <w:marBottom w:val="0"/>
      <w:divBdr>
        <w:top w:val="none" w:sz="0" w:space="0" w:color="auto"/>
        <w:left w:val="none" w:sz="0" w:space="0" w:color="auto"/>
        <w:bottom w:val="none" w:sz="0" w:space="0" w:color="auto"/>
        <w:right w:val="none" w:sz="0" w:space="0" w:color="auto"/>
      </w:divBdr>
    </w:div>
    <w:div w:id="631137192">
      <w:bodyDiv w:val="1"/>
      <w:marLeft w:val="0"/>
      <w:marRight w:val="0"/>
      <w:marTop w:val="0"/>
      <w:marBottom w:val="0"/>
      <w:divBdr>
        <w:top w:val="none" w:sz="0" w:space="0" w:color="auto"/>
        <w:left w:val="none" w:sz="0" w:space="0" w:color="auto"/>
        <w:bottom w:val="none" w:sz="0" w:space="0" w:color="auto"/>
        <w:right w:val="none" w:sz="0" w:space="0" w:color="auto"/>
      </w:divBdr>
    </w:div>
    <w:div w:id="657727778">
      <w:bodyDiv w:val="1"/>
      <w:marLeft w:val="0"/>
      <w:marRight w:val="0"/>
      <w:marTop w:val="0"/>
      <w:marBottom w:val="0"/>
      <w:divBdr>
        <w:top w:val="none" w:sz="0" w:space="0" w:color="auto"/>
        <w:left w:val="none" w:sz="0" w:space="0" w:color="auto"/>
        <w:bottom w:val="none" w:sz="0" w:space="0" w:color="auto"/>
        <w:right w:val="none" w:sz="0" w:space="0" w:color="auto"/>
      </w:divBdr>
    </w:div>
    <w:div w:id="678696662">
      <w:bodyDiv w:val="1"/>
      <w:marLeft w:val="0"/>
      <w:marRight w:val="0"/>
      <w:marTop w:val="0"/>
      <w:marBottom w:val="0"/>
      <w:divBdr>
        <w:top w:val="none" w:sz="0" w:space="0" w:color="auto"/>
        <w:left w:val="none" w:sz="0" w:space="0" w:color="auto"/>
        <w:bottom w:val="none" w:sz="0" w:space="0" w:color="auto"/>
        <w:right w:val="none" w:sz="0" w:space="0" w:color="auto"/>
      </w:divBdr>
    </w:div>
    <w:div w:id="688724849">
      <w:bodyDiv w:val="1"/>
      <w:marLeft w:val="0"/>
      <w:marRight w:val="0"/>
      <w:marTop w:val="0"/>
      <w:marBottom w:val="0"/>
      <w:divBdr>
        <w:top w:val="none" w:sz="0" w:space="0" w:color="auto"/>
        <w:left w:val="none" w:sz="0" w:space="0" w:color="auto"/>
        <w:bottom w:val="none" w:sz="0" w:space="0" w:color="auto"/>
        <w:right w:val="none" w:sz="0" w:space="0" w:color="auto"/>
      </w:divBdr>
    </w:div>
    <w:div w:id="854687055">
      <w:bodyDiv w:val="1"/>
      <w:marLeft w:val="0"/>
      <w:marRight w:val="0"/>
      <w:marTop w:val="0"/>
      <w:marBottom w:val="0"/>
      <w:divBdr>
        <w:top w:val="none" w:sz="0" w:space="0" w:color="auto"/>
        <w:left w:val="none" w:sz="0" w:space="0" w:color="auto"/>
        <w:bottom w:val="none" w:sz="0" w:space="0" w:color="auto"/>
        <w:right w:val="none" w:sz="0" w:space="0" w:color="auto"/>
      </w:divBdr>
    </w:div>
    <w:div w:id="900168280">
      <w:bodyDiv w:val="1"/>
      <w:marLeft w:val="0"/>
      <w:marRight w:val="0"/>
      <w:marTop w:val="0"/>
      <w:marBottom w:val="0"/>
      <w:divBdr>
        <w:top w:val="none" w:sz="0" w:space="0" w:color="auto"/>
        <w:left w:val="none" w:sz="0" w:space="0" w:color="auto"/>
        <w:bottom w:val="none" w:sz="0" w:space="0" w:color="auto"/>
        <w:right w:val="none" w:sz="0" w:space="0" w:color="auto"/>
      </w:divBdr>
    </w:div>
    <w:div w:id="900679252">
      <w:bodyDiv w:val="1"/>
      <w:marLeft w:val="0"/>
      <w:marRight w:val="0"/>
      <w:marTop w:val="0"/>
      <w:marBottom w:val="0"/>
      <w:divBdr>
        <w:top w:val="none" w:sz="0" w:space="0" w:color="auto"/>
        <w:left w:val="none" w:sz="0" w:space="0" w:color="auto"/>
        <w:bottom w:val="none" w:sz="0" w:space="0" w:color="auto"/>
        <w:right w:val="none" w:sz="0" w:space="0" w:color="auto"/>
      </w:divBdr>
    </w:div>
    <w:div w:id="1049963022">
      <w:bodyDiv w:val="1"/>
      <w:marLeft w:val="0"/>
      <w:marRight w:val="0"/>
      <w:marTop w:val="0"/>
      <w:marBottom w:val="0"/>
      <w:divBdr>
        <w:top w:val="none" w:sz="0" w:space="0" w:color="auto"/>
        <w:left w:val="none" w:sz="0" w:space="0" w:color="auto"/>
        <w:bottom w:val="none" w:sz="0" w:space="0" w:color="auto"/>
        <w:right w:val="none" w:sz="0" w:space="0" w:color="auto"/>
      </w:divBdr>
    </w:div>
    <w:div w:id="1317877779">
      <w:bodyDiv w:val="1"/>
      <w:marLeft w:val="0"/>
      <w:marRight w:val="0"/>
      <w:marTop w:val="0"/>
      <w:marBottom w:val="0"/>
      <w:divBdr>
        <w:top w:val="none" w:sz="0" w:space="0" w:color="auto"/>
        <w:left w:val="none" w:sz="0" w:space="0" w:color="auto"/>
        <w:bottom w:val="none" w:sz="0" w:space="0" w:color="auto"/>
        <w:right w:val="none" w:sz="0" w:space="0" w:color="auto"/>
      </w:divBdr>
      <w:divsChild>
        <w:div w:id="1781412356">
          <w:marLeft w:val="0"/>
          <w:marRight w:val="0"/>
          <w:marTop w:val="0"/>
          <w:marBottom w:val="0"/>
          <w:divBdr>
            <w:top w:val="none" w:sz="0" w:space="0" w:color="auto"/>
            <w:left w:val="none" w:sz="0" w:space="0" w:color="auto"/>
            <w:bottom w:val="none" w:sz="0" w:space="0" w:color="auto"/>
            <w:right w:val="none" w:sz="0" w:space="0" w:color="auto"/>
          </w:divBdr>
          <w:divsChild>
            <w:div w:id="473373337">
              <w:marLeft w:val="0"/>
              <w:marRight w:val="0"/>
              <w:marTop w:val="0"/>
              <w:marBottom w:val="0"/>
              <w:divBdr>
                <w:top w:val="none" w:sz="0" w:space="0" w:color="auto"/>
                <w:left w:val="none" w:sz="0" w:space="0" w:color="auto"/>
                <w:bottom w:val="none" w:sz="0" w:space="0" w:color="auto"/>
                <w:right w:val="none" w:sz="0" w:space="0" w:color="auto"/>
              </w:divBdr>
              <w:divsChild>
                <w:div w:id="1149439311">
                  <w:marLeft w:val="0"/>
                  <w:marRight w:val="0"/>
                  <w:marTop w:val="0"/>
                  <w:marBottom w:val="0"/>
                  <w:divBdr>
                    <w:top w:val="none" w:sz="0" w:space="0" w:color="auto"/>
                    <w:left w:val="none" w:sz="0" w:space="0" w:color="auto"/>
                    <w:bottom w:val="none" w:sz="0" w:space="0" w:color="auto"/>
                    <w:right w:val="none" w:sz="0" w:space="0" w:color="auto"/>
                  </w:divBdr>
                  <w:divsChild>
                    <w:div w:id="1529105011">
                      <w:marLeft w:val="0"/>
                      <w:marRight w:val="0"/>
                      <w:marTop w:val="0"/>
                      <w:marBottom w:val="0"/>
                      <w:divBdr>
                        <w:top w:val="none" w:sz="0" w:space="0" w:color="auto"/>
                        <w:left w:val="none" w:sz="0" w:space="0" w:color="auto"/>
                        <w:bottom w:val="none" w:sz="0" w:space="0" w:color="auto"/>
                        <w:right w:val="none" w:sz="0" w:space="0" w:color="auto"/>
                      </w:divBdr>
                      <w:divsChild>
                        <w:div w:id="1870602882">
                          <w:marLeft w:val="0"/>
                          <w:marRight w:val="0"/>
                          <w:marTop w:val="0"/>
                          <w:marBottom w:val="0"/>
                          <w:divBdr>
                            <w:top w:val="none" w:sz="0" w:space="0" w:color="auto"/>
                            <w:left w:val="none" w:sz="0" w:space="0" w:color="auto"/>
                            <w:bottom w:val="none" w:sz="0" w:space="0" w:color="auto"/>
                            <w:right w:val="none" w:sz="0" w:space="0" w:color="auto"/>
                          </w:divBdr>
                          <w:divsChild>
                            <w:div w:id="1915045819">
                              <w:marLeft w:val="0"/>
                              <w:marRight w:val="0"/>
                              <w:marTop w:val="0"/>
                              <w:marBottom w:val="0"/>
                              <w:divBdr>
                                <w:top w:val="none" w:sz="0" w:space="0" w:color="auto"/>
                                <w:left w:val="none" w:sz="0" w:space="0" w:color="auto"/>
                                <w:bottom w:val="none" w:sz="0" w:space="0" w:color="auto"/>
                                <w:right w:val="none" w:sz="0" w:space="0" w:color="auto"/>
                              </w:divBdr>
                              <w:divsChild>
                                <w:div w:id="1653633438">
                                  <w:marLeft w:val="0"/>
                                  <w:marRight w:val="0"/>
                                  <w:marTop w:val="0"/>
                                  <w:marBottom w:val="0"/>
                                  <w:divBdr>
                                    <w:top w:val="none" w:sz="0" w:space="0" w:color="auto"/>
                                    <w:left w:val="none" w:sz="0" w:space="0" w:color="auto"/>
                                    <w:bottom w:val="none" w:sz="0" w:space="0" w:color="auto"/>
                                    <w:right w:val="none" w:sz="0" w:space="0" w:color="auto"/>
                                  </w:divBdr>
                                  <w:divsChild>
                                    <w:div w:id="1371145672">
                                      <w:marLeft w:val="0"/>
                                      <w:marRight w:val="0"/>
                                      <w:marTop w:val="0"/>
                                      <w:marBottom w:val="0"/>
                                      <w:divBdr>
                                        <w:top w:val="none" w:sz="0" w:space="0" w:color="auto"/>
                                        <w:left w:val="none" w:sz="0" w:space="0" w:color="auto"/>
                                        <w:bottom w:val="none" w:sz="0" w:space="0" w:color="auto"/>
                                        <w:right w:val="none" w:sz="0" w:space="0" w:color="auto"/>
                                      </w:divBdr>
                                      <w:divsChild>
                                        <w:div w:id="120000412">
                                          <w:marLeft w:val="0"/>
                                          <w:marRight w:val="0"/>
                                          <w:marTop w:val="0"/>
                                          <w:marBottom w:val="0"/>
                                          <w:divBdr>
                                            <w:top w:val="none" w:sz="0" w:space="0" w:color="auto"/>
                                            <w:left w:val="none" w:sz="0" w:space="0" w:color="auto"/>
                                            <w:bottom w:val="none" w:sz="0" w:space="0" w:color="auto"/>
                                            <w:right w:val="none" w:sz="0" w:space="0" w:color="auto"/>
                                          </w:divBdr>
                                          <w:divsChild>
                                            <w:div w:id="455873444">
                                              <w:marLeft w:val="60"/>
                                              <w:marRight w:val="0"/>
                                              <w:marTop w:val="0"/>
                                              <w:marBottom w:val="0"/>
                                              <w:divBdr>
                                                <w:top w:val="none" w:sz="0" w:space="0" w:color="auto"/>
                                                <w:left w:val="none" w:sz="0" w:space="0" w:color="auto"/>
                                                <w:bottom w:val="none" w:sz="0" w:space="0" w:color="auto"/>
                                                <w:right w:val="none" w:sz="0" w:space="0" w:color="auto"/>
                                              </w:divBdr>
                                              <w:divsChild>
                                                <w:div w:id="661857673">
                                                  <w:marLeft w:val="0"/>
                                                  <w:marRight w:val="0"/>
                                                  <w:marTop w:val="0"/>
                                                  <w:marBottom w:val="0"/>
                                                  <w:divBdr>
                                                    <w:top w:val="none" w:sz="0" w:space="0" w:color="auto"/>
                                                    <w:left w:val="none" w:sz="0" w:space="0" w:color="auto"/>
                                                    <w:bottom w:val="none" w:sz="0" w:space="0" w:color="auto"/>
                                                    <w:right w:val="none" w:sz="0" w:space="0" w:color="auto"/>
                                                  </w:divBdr>
                                                  <w:divsChild>
                                                    <w:div w:id="49770104">
                                                      <w:marLeft w:val="0"/>
                                                      <w:marRight w:val="0"/>
                                                      <w:marTop w:val="0"/>
                                                      <w:marBottom w:val="0"/>
                                                      <w:divBdr>
                                                        <w:top w:val="none" w:sz="0" w:space="0" w:color="auto"/>
                                                        <w:left w:val="none" w:sz="0" w:space="0" w:color="auto"/>
                                                        <w:bottom w:val="none" w:sz="0" w:space="0" w:color="auto"/>
                                                        <w:right w:val="none" w:sz="0" w:space="0" w:color="auto"/>
                                                      </w:divBdr>
                                                      <w:divsChild>
                                                        <w:div w:id="1687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8680456">
      <w:bodyDiv w:val="1"/>
      <w:marLeft w:val="0"/>
      <w:marRight w:val="0"/>
      <w:marTop w:val="0"/>
      <w:marBottom w:val="0"/>
      <w:divBdr>
        <w:top w:val="none" w:sz="0" w:space="0" w:color="auto"/>
        <w:left w:val="none" w:sz="0" w:space="0" w:color="auto"/>
        <w:bottom w:val="none" w:sz="0" w:space="0" w:color="auto"/>
        <w:right w:val="none" w:sz="0" w:space="0" w:color="auto"/>
      </w:divBdr>
    </w:div>
    <w:div w:id="1444957626">
      <w:bodyDiv w:val="1"/>
      <w:marLeft w:val="0"/>
      <w:marRight w:val="0"/>
      <w:marTop w:val="0"/>
      <w:marBottom w:val="0"/>
      <w:divBdr>
        <w:top w:val="none" w:sz="0" w:space="0" w:color="auto"/>
        <w:left w:val="none" w:sz="0" w:space="0" w:color="auto"/>
        <w:bottom w:val="none" w:sz="0" w:space="0" w:color="auto"/>
        <w:right w:val="none" w:sz="0" w:space="0" w:color="auto"/>
      </w:divBdr>
    </w:div>
    <w:div w:id="1473448948">
      <w:bodyDiv w:val="1"/>
      <w:marLeft w:val="0"/>
      <w:marRight w:val="0"/>
      <w:marTop w:val="0"/>
      <w:marBottom w:val="0"/>
      <w:divBdr>
        <w:top w:val="none" w:sz="0" w:space="0" w:color="auto"/>
        <w:left w:val="none" w:sz="0" w:space="0" w:color="auto"/>
        <w:bottom w:val="none" w:sz="0" w:space="0" w:color="auto"/>
        <w:right w:val="none" w:sz="0" w:space="0" w:color="auto"/>
      </w:divBdr>
    </w:div>
    <w:div w:id="1752776744">
      <w:bodyDiv w:val="1"/>
      <w:marLeft w:val="0"/>
      <w:marRight w:val="0"/>
      <w:marTop w:val="0"/>
      <w:marBottom w:val="0"/>
      <w:divBdr>
        <w:top w:val="none" w:sz="0" w:space="0" w:color="auto"/>
        <w:left w:val="none" w:sz="0" w:space="0" w:color="auto"/>
        <w:bottom w:val="none" w:sz="0" w:space="0" w:color="auto"/>
        <w:right w:val="none" w:sz="0" w:space="0" w:color="auto"/>
      </w:divBdr>
    </w:div>
    <w:div w:id="1831406628">
      <w:bodyDiv w:val="1"/>
      <w:marLeft w:val="0"/>
      <w:marRight w:val="0"/>
      <w:marTop w:val="0"/>
      <w:marBottom w:val="0"/>
      <w:divBdr>
        <w:top w:val="none" w:sz="0" w:space="0" w:color="auto"/>
        <w:left w:val="none" w:sz="0" w:space="0" w:color="auto"/>
        <w:bottom w:val="none" w:sz="0" w:space="0" w:color="auto"/>
        <w:right w:val="none" w:sz="0" w:space="0" w:color="auto"/>
      </w:divBdr>
    </w:div>
    <w:div w:id="1850755583">
      <w:bodyDiv w:val="1"/>
      <w:marLeft w:val="0"/>
      <w:marRight w:val="0"/>
      <w:marTop w:val="0"/>
      <w:marBottom w:val="0"/>
      <w:divBdr>
        <w:top w:val="none" w:sz="0" w:space="0" w:color="auto"/>
        <w:left w:val="none" w:sz="0" w:space="0" w:color="auto"/>
        <w:bottom w:val="none" w:sz="0" w:space="0" w:color="auto"/>
        <w:right w:val="none" w:sz="0" w:space="0" w:color="auto"/>
      </w:divBdr>
    </w:div>
    <w:div w:id="1922905569">
      <w:bodyDiv w:val="1"/>
      <w:marLeft w:val="0"/>
      <w:marRight w:val="0"/>
      <w:marTop w:val="0"/>
      <w:marBottom w:val="0"/>
      <w:divBdr>
        <w:top w:val="none" w:sz="0" w:space="0" w:color="auto"/>
        <w:left w:val="none" w:sz="0" w:space="0" w:color="auto"/>
        <w:bottom w:val="none" w:sz="0" w:space="0" w:color="auto"/>
        <w:right w:val="none" w:sz="0" w:space="0" w:color="auto"/>
      </w:divBdr>
    </w:div>
    <w:div w:id="1940406054">
      <w:bodyDiv w:val="1"/>
      <w:marLeft w:val="0"/>
      <w:marRight w:val="0"/>
      <w:marTop w:val="0"/>
      <w:marBottom w:val="0"/>
      <w:divBdr>
        <w:top w:val="none" w:sz="0" w:space="0" w:color="auto"/>
        <w:left w:val="none" w:sz="0" w:space="0" w:color="auto"/>
        <w:bottom w:val="none" w:sz="0" w:space="0" w:color="auto"/>
        <w:right w:val="none" w:sz="0" w:space="0" w:color="auto"/>
      </w:divBdr>
    </w:div>
    <w:div w:id="1990745440">
      <w:bodyDiv w:val="1"/>
      <w:marLeft w:val="0"/>
      <w:marRight w:val="0"/>
      <w:marTop w:val="0"/>
      <w:marBottom w:val="0"/>
      <w:divBdr>
        <w:top w:val="none" w:sz="0" w:space="0" w:color="auto"/>
        <w:left w:val="none" w:sz="0" w:space="0" w:color="auto"/>
        <w:bottom w:val="none" w:sz="0" w:space="0" w:color="auto"/>
        <w:right w:val="none" w:sz="0" w:space="0" w:color="auto"/>
      </w:divBdr>
    </w:div>
    <w:div w:id="20751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hyperlink" Target="http://documents.worldbank.org/curated/en/docsearch/author/m86591"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hyperlink" Target="http://documents.worldbank.org/curated/en/docsearch/author/m125569"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hyperlink" Target="http://www.tuik.gov.tr/UstMenu.do?metod=istendeks"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documents.worldbank.org/curated/en/docsearch/collection-title/Policy,%20Research%20working%20paper"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yperlink" Target="https://data.worldbank.org/topic/science-and-technology"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hyperlink" Target="https://www.globalinnovationindex.org/analysis-indicator" TargetMode="External"/><Relationship Id="rId48" Type="http://schemas.openxmlformats.org/officeDocument/2006/relationships/hyperlink" Target="http://documents.worldbank.org/curated/en/docsearch/author/m619786" TargetMode="External"/><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5393E-DCFA-4825-A03C-3BEA00EE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10</Pages>
  <Words>3497</Words>
  <Characters>19935</Characters>
  <Application>Microsoft Office Word</Application>
  <DocSecurity>0</DocSecurity>
  <Lines>166</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IPFCtr</vt:lpstr>
      <vt:lpstr>5.Geoteknik Sempozyumu</vt:lpstr>
    </vt:vector>
  </TitlesOfParts>
  <Company/>
  <LinksUpToDate>false</LinksUpToDate>
  <CharactersWithSpaces>23386</CharactersWithSpaces>
  <SharedDoc>false</SharedDoc>
  <HLinks>
    <vt:vector size="12" baseType="variant">
      <vt:variant>
        <vt:i4>3145764</vt:i4>
      </vt:variant>
      <vt:variant>
        <vt:i4>3</vt:i4>
      </vt:variant>
      <vt:variant>
        <vt:i4>0</vt:i4>
      </vt:variant>
      <vt:variant>
        <vt:i4>5</vt:i4>
      </vt:variant>
      <vt:variant>
        <vt:lpwstr>http://www.abgs.gov.tr/</vt:lpwstr>
      </vt:variant>
      <vt:variant>
        <vt:lpwstr/>
      </vt:variant>
      <vt:variant>
        <vt:i4>4325455</vt:i4>
      </vt:variant>
      <vt:variant>
        <vt:i4>0</vt:i4>
      </vt:variant>
      <vt:variant>
        <vt:i4>0</vt:i4>
      </vt:variant>
      <vt:variant>
        <vt:i4>5</vt:i4>
      </vt:variant>
      <vt:variant>
        <vt:lpwstr>http://aei.pitt.edu/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IPFCtr</dc:title>
  <dc:creator>Düzenleme Kurulu</dc:creator>
  <cp:lastModifiedBy>Sevgin Fettahoğlu</cp:lastModifiedBy>
  <cp:revision>112</cp:revision>
  <cp:lastPrinted>2015-04-20T06:22:00Z</cp:lastPrinted>
  <dcterms:created xsi:type="dcterms:W3CDTF">2018-02-08T13:54:00Z</dcterms:created>
  <dcterms:modified xsi:type="dcterms:W3CDTF">2019-02-05T08:07:00Z</dcterms:modified>
</cp:coreProperties>
</file>