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E1" w:rsidRPr="00313B5C" w:rsidRDefault="00D738E1" w:rsidP="00313B5C">
      <w:pPr>
        <w:spacing w:line="360" w:lineRule="auto"/>
        <w:jc w:val="both"/>
        <w:rPr>
          <w:rFonts w:ascii="Times New Roman" w:hAnsi="Times New Roman" w:cs="Times New Roman"/>
          <w:sz w:val="24"/>
          <w:szCs w:val="24"/>
        </w:rPr>
        <w:sectPr w:rsidR="00D738E1" w:rsidRPr="00313B5C" w:rsidSect="007F56D4">
          <w:headerReference w:type="even" r:id="rId8"/>
          <w:headerReference w:type="default" r:id="rId9"/>
          <w:footerReference w:type="even" r:id="rId10"/>
          <w:footerReference w:type="default" r:id="rId11"/>
          <w:pgSz w:w="11906" w:h="16838"/>
          <w:pgMar w:top="1417" w:right="1417" w:bottom="1417" w:left="1417" w:header="708" w:footer="708" w:gutter="0"/>
          <w:pgNumType w:start="15"/>
          <w:cols w:space="708"/>
          <w:docGrid w:linePitch="360"/>
        </w:sectPr>
      </w:pPr>
    </w:p>
    <w:p w:rsidR="00F17ED1" w:rsidRPr="00313B5C" w:rsidRDefault="00F17ED1" w:rsidP="006C69BF">
      <w:pPr>
        <w:spacing w:after="0" w:line="240" w:lineRule="auto"/>
        <w:jc w:val="center"/>
        <w:rPr>
          <w:rFonts w:ascii="Times New Roman" w:hAnsi="Times New Roman" w:cs="Times New Roman"/>
          <w:b/>
          <w:bCs/>
          <w:sz w:val="24"/>
          <w:szCs w:val="24"/>
        </w:rPr>
      </w:pPr>
      <w:r w:rsidRPr="00313B5C">
        <w:rPr>
          <w:rFonts w:ascii="Times New Roman" w:hAnsi="Times New Roman" w:cs="Times New Roman"/>
          <w:b/>
          <w:bCs/>
          <w:sz w:val="24"/>
          <w:szCs w:val="24"/>
        </w:rPr>
        <w:lastRenderedPageBreak/>
        <w:t>AMERİKA BİRLEŞİK DEVLETLERİ SAĞLIK SİSTEMİ İLE TÜRKİYE SAĞLIK SİSTEMİNİN KARŞILAŞTIRILMASI</w:t>
      </w:r>
    </w:p>
    <w:p w:rsidR="00F17ED1" w:rsidRDefault="00F17ED1" w:rsidP="00313B5C">
      <w:pPr>
        <w:spacing w:after="0" w:line="240" w:lineRule="auto"/>
        <w:jc w:val="both"/>
        <w:rPr>
          <w:rFonts w:ascii="Times New Roman" w:hAnsi="Times New Roman" w:cs="Times New Roman"/>
          <w:b/>
          <w:bCs/>
          <w:sz w:val="24"/>
          <w:szCs w:val="24"/>
        </w:rPr>
      </w:pPr>
    </w:p>
    <w:p w:rsidR="006C69BF" w:rsidRPr="006C69BF" w:rsidRDefault="006C69BF" w:rsidP="006C69BF">
      <w:pPr>
        <w:spacing w:after="0" w:line="240" w:lineRule="auto"/>
        <w:jc w:val="center"/>
        <w:rPr>
          <w:rFonts w:ascii="Times New Roman" w:hAnsi="Times New Roman" w:cs="Times New Roman"/>
          <w:sz w:val="24"/>
          <w:szCs w:val="24"/>
          <w:lang w:eastAsia="tr-TR"/>
        </w:rPr>
      </w:pPr>
      <w:r w:rsidRPr="006C69BF">
        <w:rPr>
          <w:rFonts w:ascii="Times New Roman" w:hAnsi="Times New Roman" w:cs="Times New Roman"/>
          <w:sz w:val="24"/>
          <w:szCs w:val="24"/>
          <w:lang w:eastAsia="tr-TR"/>
        </w:rPr>
        <w:t>THE COMPARISON OF AMERICAN AND TURKISH HEALTHCARE SYSTEMS</w:t>
      </w:r>
    </w:p>
    <w:p w:rsidR="006C69BF" w:rsidRPr="00313B5C" w:rsidRDefault="006C69BF" w:rsidP="00313B5C">
      <w:pPr>
        <w:spacing w:after="0" w:line="240" w:lineRule="auto"/>
        <w:jc w:val="both"/>
        <w:rPr>
          <w:rFonts w:ascii="Times New Roman" w:hAnsi="Times New Roman" w:cs="Times New Roman"/>
          <w:b/>
          <w:bCs/>
          <w:sz w:val="24"/>
          <w:szCs w:val="24"/>
        </w:rPr>
      </w:pPr>
    </w:p>
    <w:p w:rsidR="00F17ED1" w:rsidRDefault="00F17ED1" w:rsidP="006C69BF">
      <w:pPr>
        <w:spacing w:after="0" w:line="240" w:lineRule="auto"/>
        <w:jc w:val="center"/>
        <w:rPr>
          <w:rFonts w:ascii="Times New Roman" w:hAnsi="Times New Roman" w:cs="Times New Roman"/>
          <w:sz w:val="24"/>
          <w:szCs w:val="24"/>
        </w:rPr>
      </w:pPr>
      <w:r w:rsidRPr="00313B5C">
        <w:rPr>
          <w:rFonts w:ascii="Times New Roman" w:hAnsi="Times New Roman" w:cs="Times New Roman"/>
          <w:sz w:val="24"/>
          <w:szCs w:val="24"/>
          <w:lang w:eastAsia="tr-TR"/>
        </w:rPr>
        <w:t>Hasan UĞURLU</w:t>
      </w:r>
      <w:r w:rsidRPr="00313B5C">
        <w:rPr>
          <w:rStyle w:val="DipnotBavurusu"/>
          <w:rFonts w:ascii="Times New Roman" w:hAnsi="Times New Roman" w:cs="Times New Roman"/>
          <w:sz w:val="24"/>
          <w:szCs w:val="24"/>
          <w:lang w:eastAsia="tr-TR"/>
        </w:rPr>
        <w:footnoteReference w:id="1"/>
      </w:r>
      <w:r w:rsidRPr="00313B5C">
        <w:rPr>
          <w:rFonts w:ascii="Times New Roman" w:hAnsi="Times New Roman" w:cs="Times New Roman"/>
          <w:sz w:val="24"/>
          <w:szCs w:val="24"/>
          <w:lang w:eastAsia="tr-TR"/>
        </w:rPr>
        <w:t xml:space="preserve">, </w:t>
      </w:r>
      <w:r w:rsidRPr="00313B5C">
        <w:rPr>
          <w:rFonts w:ascii="Times New Roman" w:hAnsi="Times New Roman" w:cs="Times New Roman"/>
          <w:sz w:val="24"/>
          <w:szCs w:val="24"/>
        </w:rPr>
        <w:t>Hanife ARSLAN</w:t>
      </w:r>
      <w:r w:rsidRPr="00313B5C">
        <w:rPr>
          <w:rStyle w:val="DipnotBavurusu"/>
          <w:rFonts w:ascii="Times New Roman" w:hAnsi="Times New Roman" w:cs="Times New Roman"/>
          <w:sz w:val="24"/>
          <w:szCs w:val="24"/>
          <w:lang w:eastAsia="tr-TR"/>
        </w:rPr>
        <w:footnoteReference w:id="2"/>
      </w:r>
    </w:p>
    <w:p w:rsidR="004F6C6F" w:rsidRPr="00313B5C" w:rsidRDefault="004F6C6F" w:rsidP="006C69BF">
      <w:pPr>
        <w:spacing w:after="0" w:line="240" w:lineRule="auto"/>
        <w:jc w:val="center"/>
        <w:rPr>
          <w:rFonts w:ascii="Times New Roman" w:hAnsi="Times New Roman" w:cs="Times New Roman"/>
          <w:sz w:val="24"/>
          <w:szCs w:val="24"/>
        </w:rPr>
      </w:pPr>
    </w:p>
    <w:p w:rsidR="006C69BF" w:rsidRDefault="006C69BF" w:rsidP="006C69BF">
      <w:pPr>
        <w:widowControl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Makale Geliş: </w:t>
      </w:r>
      <w:r w:rsidR="00D228AE">
        <w:rPr>
          <w:rFonts w:ascii="Times New Roman" w:eastAsia="Times New Roman" w:hAnsi="Times New Roman" w:cs="Times New Roman"/>
          <w:sz w:val="20"/>
          <w:szCs w:val="20"/>
        </w:rPr>
        <w:t>20</w:t>
      </w:r>
      <w:r>
        <w:rPr>
          <w:rFonts w:ascii="Times New Roman" w:eastAsia="Times New Roman" w:hAnsi="Times New Roman" w:cs="Times New Roman"/>
          <w:sz w:val="20"/>
          <w:szCs w:val="20"/>
        </w:rPr>
        <w:t>.06.2020</w:t>
      </w:r>
    </w:p>
    <w:p w:rsidR="006C69BF" w:rsidRPr="008057E2" w:rsidRDefault="006C69BF" w:rsidP="006C69BF">
      <w:pPr>
        <w:widowControl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Makale Kabul: </w:t>
      </w:r>
      <w:r w:rsidR="00D228AE">
        <w:rPr>
          <w:rFonts w:ascii="Times New Roman" w:eastAsia="Times New Roman" w:hAnsi="Times New Roman" w:cs="Times New Roman"/>
          <w:sz w:val="20"/>
          <w:szCs w:val="20"/>
        </w:rPr>
        <w:t>30.</w:t>
      </w:r>
      <w:bookmarkStart w:id="0" w:name="_GoBack"/>
      <w:bookmarkEnd w:id="0"/>
      <w:r>
        <w:rPr>
          <w:rFonts w:ascii="Times New Roman" w:eastAsia="Times New Roman" w:hAnsi="Times New Roman" w:cs="Times New Roman"/>
          <w:sz w:val="20"/>
          <w:szCs w:val="20"/>
        </w:rPr>
        <w:t>06.2020</w:t>
      </w:r>
    </w:p>
    <w:p w:rsidR="00F17ED1" w:rsidRPr="00313B5C" w:rsidRDefault="00F17ED1" w:rsidP="00313B5C">
      <w:pPr>
        <w:spacing w:after="0" w:line="240" w:lineRule="auto"/>
        <w:jc w:val="both"/>
        <w:rPr>
          <w:rFonts w:ascii="Times New Roman" w:hAnsi="Times New Roman" w:cs="Times New Roman"/>
          <w:b/>
          <w:sz w:val="24"/>
          <w:szCs w:val="24"/>
        </w:rPr>
      </w:pPr>
    </w:p>
    <w:p w:rsidR="004F6C6F" w:rsidRDefault="004F6C6F" w:rsidP="00313B5C">
      <w:pPr>
        <w:spacing w:after="0" w:line="240" w:lineRule="auto"/>
        <w:jc w:val="both"/>
        <w:rPr>
          <w:rFonts w:ascii="Times New Roman" w:hAnsi="Times New Roman" w:cs="Times New Roman"/>
          <w:b/>
          <w:bCs/>
          <w:sz w:val="20"/>
          <w:szCs w:val="20"/>
          <w:lang w:eastAsia="tr-TR"/>
        </w:rPr>
      </w:pPr>
    </w:p>
    <w:p w:rsidR="00F17ED1" w:rsidRPr="006C69BF" w:rsidRDefault="00F17ED1" w:rsidP="00313B5C">
      <w:pPr>
        <w:spacing w:after="0" w:line="240" w:lineRule="auto"/>
        <w:jc w:val="both"/>
        <w:rPr>
          <w:rFonts w:ascii="Times New Roman" w:hAnsi="Times New Roman" w:cs="Times New Roman"/>
          <w:b/>
          <w:bCs/>
          <w:sz w:val="20"/>
          <w:szCs w:val="20"/>
          <w:lang w:eastAsia="tr-TR"/>
        </w:rPr>
      </w:pPr>
      <w:r w:rsidRPr="006C69BF">
        <w:rPr>
          <w:rFonts w:ascii="Times New Roman" w:hAnsi="Times New Roman" w:cs="Times New Roman"/>
          <w:b/>
          <w:bCs/>
          <w:sz w:val="20"/>
          <w:szCs w:val="20"/>
          <w:lang w:eastAsia="tr-TR"/>
        </w:rPr>
        <w:t>ÖZ</w:t>
      </w:r>
    </w:p>
    <w:p w:rsidR="00F17ED1" w:rsidRPr="006C69BF" w:rsidRDefault="00F17ED1" w:rsidP="00313B5C">
      <w:pPr>
        <w:spacing w:after="0" w:line="240" w:lineRule="auto"/>
        <w:jc w:val="both"/>
        <w:rPr>
          <w:rFonts w:ascii="Times New Roman" w:hAnsi="Times New Roman" w:cs="Times New Roman"/>
          <w:b/>
          <w:bCs/>
          <w:sz w:val="20"/>
          <w:szCs w:val="20"/>
          <w:lang w:eastAsia="tr-TR"/>
        </w:rPr>
      </w:pPr>
    </w:p>
    <w:p w:rsidR="00F17ED1" w:rsidRPr="006C69BF" w:rsidRDefault="00F17ED1" w:rsidP="00313B5C">
      <w:pPr>
        <w:spacing w:after="0" w:line="240" w:lineRule="auto"/>
        <w:jc w:val="both"/>
        <w:rPr>
          <w:rFonts w:ascii="Times New Roman" w:hAnsi="Times New Roman" w:cs="Times New Roman"/>
          <w:sz w:val="20"/>
          <w:szCs w:val="20"/>
          <w:lang w:eastAsia="tr-TR"/>
        </w:rPr>
      </w:pPr>
      <w:r w:rsidRPr="006C69BF">
        <w:rPr>
          <w:rFonts w:ascii="Times New Roman" w:hAnsi="Times New Roman" w:cs="Times New Roman"/>
          <w:sz w:val="20"/>
          <w:szCs w:val="20"/>
          <w:lang w:eastAsia="tr-TR"/>
        </w:rPr>
        <w:t>Bu çalışma ikincil verilerden yararlanılarak hazırlanmış bir araştırma makalesidir. Amacı; Amerika Birleşik Devletleri (ABD) ve Türkiye’nin sağlık göstergelerine ilişkin istatistiksel verilerin karşılaştırılması ve yorumlanması yoluyla, sağlık sistemine ilişkin faydalı tavsiyelerde bulunmaktır. ABD’ye ilişkin sağlık verilerinin yanında coğrafi, demografik ve ticari veriler de yer almaktadır. Bu çalışmayla Amerika Birleşik Devletleri sağlık sistemi incelenmiş ve elde edilen göstergelerle söz konusu iki ülkenin karşılaştırılması yapılmıştır. Temel sağlık göstergeleri, toplam hekim ve hemşire sayıları, hastane yatak sayıları, medikal teknoloji, gıda tüketim verileri ve bağışıklama (aşılama) oranları gibi farklı konulara ilişkin sağlık verileri tablolar yardımıyla karşılaştırılmıştır. Türkiye ve ABD’nin, sağlık sistemi olarak farklı yapılarda olduğu görülmektedir. Genel olarak ABD’ye ait veriler gelişmiş bir ekonomiye işaret etmektedir ancak tüm halkı kapsayan bir sağlık sistemi yoktur. Serbest Pazar tipi sağlık sistemi (özel teşebbüs) ağır basmaktadır. Türkiye ise refah yönelimli sağlık sistemi içerisinde değerlendirilmektedir. Temel sağlık göstergeleri kıyaslandığında ABD’nin daha iyi durumda olduğu söylenebilir. Türkiye her ne kadar koruyucu sağlık hizmetleri alanında iyi durumda olsa da halk sağlığına ilişkin çalışmaların titizlikle sürdürülmesi sağlıklı bir neslin yetişebilmesi açısından önemlidir.</w:t>
      </w:r>
    </w:p>
    <w:p w:rsidR="00F17ED1" w:rsidRPr="006C69BF" w:rsidRDefault="00F17ED1" w:rsidP="00313B5C">
      <w:pPr>
        <w:spacing w:after="0" w:line="240" w:lineRule="auto"/>
        <w:jc w:val="both"/>
        <w:rPr>
          <w:rFonts w:ascii="Times New Roman" w:hAnsi="Times New Roman" w:cs="Times New Roman"/>
          <w:sz w:val="20"/>
          <w:szCs w:val="20"/>
          <w:lang w:eastAsia="tr-TR"/>
        </w:rPr>
      </w:pPr>
      <w:r w:rsidRPr="006C69BF">
        <w:rPr>
          <w:rFonts w:ascii="Times New Roman" w:hAnsi="Times New Roman" w:cs="Times New Roman"/>
          <w:sz w:val="20"/>
          <w:szCs w:val="20"/>
          <w:lang w:eastAsia="tr-TR"/>
        </w:rPr>
        <w:t xml:space="preserve"> </w:t>
      </w:r>
    </w:p>
    <w:p w:rsidR="00F17ED1" w:rsidRPr="006C69BF" w:rsidRDefault="00F17ED1" w:rsidP="00313B5C">
      <w:pPr>
        <w:spacing w:after="0" w:line="240" w:lineRule="auto"/>
        <w:jc w:val="both"/>
        <w:rPr>
          <w:rFonts w:ascii="Times New Roman" w:hAnsi="Times New Roman" w:cs="Times New Roman"/>
          <w:bCs/>
          <w:sz w:val="20"/>
          <w:szCs w:val="20"/>
          <w:lang w:eastAsia="tr-TR"/>
        </w:rPr>
      </w:pPr>
      <w:r w:rsidRPr="006C69BF">
        <w:rPr>
          <w:rFonts w:ascii="Times New Roman" w:hAnsi="Times New Roman" w:cs="Times New Roman"/>
          <w:b/>
          <w:sz w:val="20"/>
          <w:szCs w:val="20"/>
          <w:lang w:eastAsia="tr-TR"/>
        </w:rPr>
        <w:t xml:space="preserve">Anahtar Kelimeler: </w:t>
      </w:r>
      <w:r w:rsidRPr="006C69BF">
        <w:rPr>
          <w:rFonts w:ascii="Times New Roman" w:hAnsi="Times New Roman" w:cs="Times New Roman"/>
          <w:bCs/>
          <w:sz w:val="20"/>
          <w:szCs w:val="20"/>
          <w:lang w:eastAsia="tr-TR"/>
        </w:rPr>
        <w:t>finansman, sağlık hizmetleri, sağlık sigortası, sağlık sistemi</w:t>
      </w:r>
      <w:r w:rsidR="006C69BF">
        <w:rPr>
          <w:rFonts w:ascii="Times New Roman" w:hAnsi="Times New Roman" w:cs="Times New Roman"/>
          <w:bCs/>
          <w:sz w:val="20"/>
          <w:szCs w:val="20"/>
          <w:lang w:eastAsia="tr-TR"/>
        </w:rPr>
        <w:t>.</w:t>
      </w:r>
    </w:p>
    <w:p w:rsidR="00F17ED1" w:rsidRPr="006C69BF" w:rsidRDefault="00F17ED1" w:rsidP="00313B5C">
      <w:pPr>
        <w:spacing w:after="0" w:line="240" w:lineRule="auto"/>
        <w:jc w:val="both"/>
        <w:rPr>
          <w:rFonts w:ascii="Times New Roman" w:hAnsi="Times New Roman" w:cs="Times New Roman"/>
          <w:b/>
          <w:sz w:val="20"/>
          <w:szCs w:val="20"/>
          <w:lang w:eastAsia="tr-TR"/>
        </w:rPr>
      </w:pPr>
    </w:p>
    <w:p w:rsidR="00F17ED1" w:rsidRPr="006C69BF" w:rsidRDefault="00F17ED1" w:rsidP="00313B5C">
      <w:pPr>
        <w:spacing w:after="0" w:line="240" w:lineRule="auto"/>
        <w:jc w:val="both"/>
        <w:rPr>
          <w:rFonts w:ascii="Times New Roman" w:hAnsi="Times New Roman" w:cs="Times New Roman"/>
          <w:b/>
          <w:sz w:val="20"/>
          <w:szCs w:val="20"/>
          <w:lang w:eastAsia="tr-TR"/>
        </w:rPr>
      </w:pPr>
    </w:p>
    <w:p w:rsidR="00F17ED1" w:rsidRPr="006C69BF" w:rsidRDefault="00F17ED1" w:rsidP="00313B5C">
      <w:pPr>
        <w:spacing w:before="240" w:after="0" w:line="240" w:lineRule="auto"/>
        <w:jc w:val="both"/>
        <w:rPr>
          <w:rFonts w:ascii="Times New Roman" w:hAnsi="Times New Roman" w:cs="Times New Roman"/>
          <w:b/>
          <w:sz w:val="20"/>
          <w:szCs w:val="20"/>
          <w:lang w:eastAsia="tr-TR"/>
        </w:rPr>
      </w:pPr>
      <w:r w:rsidRPr="006C69BF">
        <w:rPr>
          <w:rFonts w:ascii="Times New Roman" w:hAnsi="Times New Roman" w:cs="Times New Roman"/>
          <w:b/>
          <w:sz w:val="20"/>
          <w:szCs w:val="20"/>
          <w:lang w:eastAsia="tr-TR"/>
        </w:rPr>
        <w:t xml:space="preserve">ABSTRACT </w:t>
      </w:r>
    </w:p>
    <w:p w:rsidR="00F17ED1" w:rsidRPr="006C69BF" w:rsidRDefault="00F17ED1" w:rsidP="00313B5C">
      <w:pPr>
        <w:spacing w:after="0" w:line="240" w:lineRule="auto"/>
        <w:jc w:val="both"/>
        <w:rPr>
          <w:rFonts w:ascii="Times New Roman" w:hAnsi="Times New Roman" w:cs="Times New Roman"/>
          <w:b/>
          <w:sz w:val="20"/>
          <w:szCs w:val="20"/>
          <w:lang w:eastAsia="tr-TR"/>
        </w:rPr>
      </w:pPr>
    </w:p>
    <w:p w:rsidR="00F17ED1" w:rsidRPr="006C69BF" w:rsidRDefault="00F17ED1" w:rsidP="00313B5C">
      <w:pPr>
        <w:spacing w:after="0" w:line="240" w:lineRule="auto"/>
        <w:jc w:val="both"/>
        <w:rPr>
          <w:rFonts w:ascii="Times New Roman" w:hAnsi="Times New Roman" w:cs="Times New Roman"/>
          <w:bCs/>
          <w:sz w:val="20"/>
          <w:szCs w:val="20"/>
          <w:lang w:val="en" w:eastAsia="tr-TR"/>
        </w:rPr>
      </w:pPr>
      <w:r w:rsidRPr="006C69BF">
        <w:rPr>
          <w:rFonts w:ascii="Times New Roman" w:hAnsi="Times New Roman" w:cs="Times New Roman"/>
          <w:bCs/>
          <w:sz w:val="20"/>
          <w:szCs w:val="20"/>
          <w:lang w:val="en" w:eastAsia="tr-TR"/>
        </w:rPr>
        <w:t>This study is a research article conducted by using secondary data. It aims to make suggestions related to the Turkish and American healthcare systems through the comparison and interpretation of statistical data. Besides the data regarding the US healthcare, geographic, demographic and commercial data were also provided. The present study examined the US healthcare system and compared it with the Turkish healthcare system with the help of certain indicators. Comparisons were made related to the basic health indicators, total numbers of doctors and nurses, the amount of hospital beds, medical technology, food consumption and immunization (vaccination) rates. It was seen that Turkey and the US have different structures in their healthcare systems. The findings linked with the US point to a developed economy in general, but the healthcare system does not cover all citizens. The Free Market type healthcare system (private enterprise) predominates there. Turkey, on the other hand, is considered in the welfare-oriented healthcare system. It can be said that the US healthcare system is better in terms of basic health indicators. Although Turkey is good in the field of preventive health services, maintaining meticulous research on the public health is important to be able to raise a healthy generation.</w:t>
      </w:r>
    </w:p>
    <w:p w:rsidR="00F17ED1" w:rsidRPr="00313B5C" w:rsidRDefault="00F17ED1" w:rsidP="00313B5C">
      <w:pPr>
        <w:spacing w:after="0" w:line="240" w:lineRule="auto"/>
        <w:jc w:val="both"/>
        <w:rPr>
          <w:rFonts w:ascii="Times New Roman" w:hAnsi="Times New Roman" w:cs="Times New Roman"/>
          <w:bCs/>
          <w:sz w:val="24"/>
          <w:szCs w:val="24"/>
          <w:lang w:val="en-US" w:eastAsia="tr-TR"/>
        </w:rPr>
      </w:pPr>
    </w:p>
    <w:p w:rsidR="00F17ED1" w:rsidRDefault="00F17ED1" w:rsidP="00313B5C">
      <w:pPr>
        <w:spacing w:after="0" w:line="240" w:lineRule="auto"/>
        <w:jc w:val="both"/>
        <w:rPr>
          <w:rFonts w:ascii="Times New Roman" w:hAnsi="Times New Roman" w:cs="Times New Roman"/>
          <w:bCs/>
          <w:sz w:val="20"/>
          <w:szCs w:val="20"/>
          <w:lang w:val="en-US" w:eastAsia="tr-TR"/>
        </w:rPr>
      </w:pPr>
      <w:r w:rsidRPr="006C69BF">
        <w:rPr>
          <w:rFonts w:ascii="Times New Roman" w:hAnsi="Times New Roman" w:cs="Times New Roman"/>
          <w:b/>
          <w:bCs/>
          <w:sz w:val="20"/>
          <w:szCs w:val="20"/>
          <w:lang w:val="en-US" w:eastAsia="tr-TR"/>
        </w:rPr>
        <w:t xml:space="preserve">Key Words: </w:t>
      </w:r>
      <w:r w:rsidRPr="006C69BF">
        <w:rPr>
          <w:rFonts w:ascii="Times New Roman" w:hAnsi="Times New Roman" w:cs="Times New Roman"/>
          <w:bCs/>
          <w:sz w:val="20"/>
          <w:szCs w:val="20"/>
          <w:lang w:val="en-US" w:eastAsia="tr-TR"/>
        </w:rPr>
        <w:t>financing, health services, health insurance, healthcare system</w:t>
      </w:r>
      <w:r w:rsidR="006C69BF">
        <w:rPr>
          <w:rFonts w:ascii="Times New Roman" w:hAnsi="Times New Roman" w:cs="Times New Roman"/>
          <w:bCs/>
          <w:sz w:val="20"/>
          <w:szCs w:val="20"/>
          <w:lang w:val="en-US" w:eastAsia="tr-TR"/>
        </w:rPr>
        <w:t>.</w:t>
      </w:r>
    </w:p>
    <w:p w:rsidR="006C69BF" w:rsidRPr="006C69BF" w:rsidRDefault="006C69BF" w:rsidP="00313B5C">
      <w:pPr>
        <w:spacing w:after="0" w:line="240" w:lineRule="auto"/>
        <w:jc w:val="both"/>
        <w:rPr>
          <w:rFonts w:ascii="Times New Roman" w:hAnsi="Times New Roman" w:cs="Times New Roman"/>
          <w:bCs/>
          <w:sz w:val="20"/>
          <w:szCs w:val="20"/>
          <w:lang w:val="en-US" w:eastAsia="tr-TR"/>
        </w:rPr>
      </w:pPr>
    </w:p>
    <w:p w:rsidR="00F17ED1" w:rsidRPr="00313B5C" w:rsidRDefault="00F17ED1" w:rsidP="00313B5C">
      <w:pPr>
        <w:pStyle w:val="Balk1"/>
        <w:numPr>
          <w:ilvl w:val="0"/>
          <w:numId w:val="12"/>
        </w:numPr>
        <w:spacing w:after="100" w:afterAutospacing="1" w:line="360" w:lineRule="auto"/>
        <w:jc w:val="both"/>
        <w:rPr>
          <w:rFonts w:ascii="Times New Roman" w:hAnsi="Times New Roman" w:cs="Times New Roman"/>
          <w:sz w:val="24"/>
          <w:szCs w:val="24"/>
        </w:rPr>
      </w:pPr>
      <w:bookmarkStart w:id="1" w:name="_Toc42430891"/>
      <w:r w:rsidRPr="00313B5C">
        <w:rPr>
          <w:rFonts w:ascii="Times New Roman" w:hAnsi="Times New Roman" w:cs="Times New Roman"/>
          <w:sz w:val="24"/>
          <w:szCs w:val="24"/>
        </w:rPr>
        <w:lastRenderedPageBreak/>
        <w:t>GİRİŞ</w:t>
      </w:r>
      <w:bookmarkEnd w:id="1"/>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sz w:val="24"/>
          <w:szCs w:val="24"/>
          <w:lang w:eastAsia="tr-TR"/>
        </w:rPr>
        <w:t xml:space="preserve">Sağlık sistemi; sağlığın korunması, iyileştirilmesi ve geliştirilmesi süreçlerinde yer alan kişiler, eylemler ve faaliyetler ile ilgilenir. Sadece sağlık bakanlığının ya da sağlıkla ilgili bakanlıkların değil pek çok sektör ve yapının bir arada çalışmasını gerektirir </w:t>
      </w:r>
      <w:sdt>
        <w:sdtPr>
          <w:rPr>
            <w:rFonts w:ascii="Times New Roman" w:hAnsi="Times New Roman" w:cs="Times New Roman"/>
            <w:sz w:val="24"/>
            <w:szCs w:val="24"/>
            <w:lang w:eastAsia="tr-TR"/>
          </w:rPr>
          <w:id w:val="810674823"/>
          <w:citation/>
        </w:sdtPr>
        <w:sdtEndPr/>
        <w:sdtContent>
          <w:r w:rsidRPr="00313B5C">
            <w:rPr>
              <w:rFonts w:ascii="Times New Roman" w:hAnsi="Times New Roman" w:cs="Times New Roman"/>
              <w:sz w:val="24"/>
              <w:szCs w:val="24"/>
              <w:lang w:eastAsia="tr-TR"/>
            </w:rPr>
            <w:fldChar w:fldCharType="begin"/>
          </w:r>
          <w:r w:rsidRPr="00313B5C">
            <w:rPr>
              <w:rFonts w:ascii="Times New Roman" w:hAnsi="Times New Roman" w:cs="Times New Roman"/>
              <w:sz w:val="24"/>
              <w:szCs w:val="24"/>
              <w:lang w:eastAsia="tr-TR"/>
            </w:rPr>
            <w:instrText xml:space="preserve"> CITATION Wor00 \l 1055 </w:instrText>
          </w:r>
          <w:r w:rsidRPr="00313B5C">
            <w:rPr>
              <w:rFonts w:ascii="Times New Roman" w:hAnsi="Times New Roman" w:cs="Times New Roman"/>
              <w:sz w:val="24"/>
              <w:szCs w:val="24"/>
              <w:lang w:eastAsia="tr-TR"/>
            </w:rPr>
            <w:fldChar w:fldCharType="separate"/>
          </w:r>
          <w:r w:rsidRPr="00313B5C">
            <w:rPr>
              <w:rFonts w:ascii="Times New Roman" w:hAnsi="Times New Roman" w:cs="Times New Roman"/>
              <w:noProof/>
              <w:sz w:val="24"/>
              <w:szCs w:val="24"/>
              <w:lang w:eastAsia="tr-TR"/>
            </w:rPr>
            <w:t>(World Health Organisation, 2000)</w:t>
          </w:r>
          <w:r w:rsidRPr="00313B5C">
            <w:rPr>
              <w:rFonts w:ascii="Times New Roman" w:hAnsi="Times New Roman" w:cs="Times New Roman"/>
              <w:sz w:val="24"/>
              <w:szCs w:val="24"/>
              <w:lang w:eastAsia="tr-TR"/>
            </w:rPr>
            <w:fldChar w:fldCharType="end"/>
          </w:r>
        </w:sdtContent>
      </w:sdt>
      <w:r w:rsidRPr="00313B5C">
        <w:rPr>
          <w:rFonts w:ascii="Times New Roman" w:hAnsi="Times New Roman" w:cs="Times New Roman"/>
          <w:sz w:val="24"/>
          <w:szCs w:val="24"/>
          <w:lang w:eastAsia="tr-TR"/>
        </w:rPr>
        <w:t>. Sağlık sistemleri temelde sağlık göstergelerinin iyileştirilmesi, bireylerin sağlık ihtiyaçlarının giderilmesi ve hastalık/sağlık nedeniyle oluşacak maliyetlere karşı finansal koruma sağlanması amacıyla uygulanırlar</w:t>
      </w:r>
      <w:sdt>
        <w:sdtPr>
          <w:rPr>
            <w:rFonts w:ascii="Times New Roman" w:hAnsi="Times New Roman" w:cs="Times New Roman"/>
            <w:sz w:val="24"/>
            <w:szCs w:val="24"/>
            <w:lang w:eastAsia="tr-TR"/>
          </w:rPr>
          <w:id w:val="-1647430181"/>
          <w:citation/>
        </w:sdtPr>
        <w:sdtEndPr/>
        <w:sdtContent>
          <w:r w:rsidRPr="00313B5C">
            <w:rPr>
              <w:rFonts w:ascii="Times New Roman" w:hAnsi="Times New Roman" w:cs="Times New Roman"/>
              <w:sz w:val="24"/>
              <w:szCs w:val="24"/>
              <w:lang w:eastAsia="tr-TR"/>
            </w:rPr>
            <w:fldChar w:fldCharType="begin"/>
          </w:r>
          <w:r w:rsidRPr="00313B5C">
            <w:rPr>
              <w:rFonts w:ascii="Times New Roman" w:hAnsi="Times New Roman" w:cs="Times New Roman"/>
              <w:sz w:val="24"/>
              <w:szCs w:val="24"/>
              <w:lang w:eastAsia="tr-TR"/>
            </w:rPr>
            <w:instrText xml:space="preserve"> CITATION Uğu05 \l 1055 </w:instrText>
          </w:r>
          <w:r w:rsidRPr="00313B5C">
            <w:rPr>
              <w:rFonts w:ascii="Times New Roman" w:hAnsi="Times New Roman" w:cs="Times New Roman"/>
              <w:sz w:val="24"/>
              <w:szCs w:val="24"/>
              <w:lang w:eastAsia="tr-TR"/>
            </w:rPr>
            <w:fldChar w:fldCharType="separate"/>
          </w:r>
          <w:r w:rsidRPr="00313B5C">
            <w:rPr>
              <w:rFonts w:ascii="Times New Roman" w:hAnsi="Times New Roman" w:cs="Times New Roman"/>
              <w:noProof/>
              <w:sz w:val="24"/>
              <w:szCs w:val="24"/>
              <w:lang w:eastAsia="tr-TR"/>
            </w:rPr>
            <w:t xml:space="preserve"> (Uğurluoğlu &amp; Çelik, 2005)</w:t>
          </w:r>
          <w:r w:rsidRPr="00313B5C">
            <w:rPr>
              <w:rFonts w:ascii="Times New Roman" w:hAnsi="Times New Roman" w:cs="Times New Roman"/>
              <w:sz w:val="24"/>
              <w:szCs w:val="24"/>
              <w:lang w:eastAsia="tr-TR"/>
            </w:rPr>
            <w:fldChar w:fldCharType="end"/>
          </w:r>
        </w:sdtContent>
      </w:sdt>
      <w:r w:rsidRPr="00313B5C">
        <w:rPr>
          <w:rFonts w:ascii="Times New Roman" w:hAnsi="Times New Roman" w:cs="Times New Roman"/>
          <w:sz w:val="24"/>
          <w:szCs w:val="24"/>
          <w:lang w:eastAsia="tr-TR"/>
        </w:rPr>
        <w:t xml:space="preserve">. Bu sistemler; uyguladıkları politikalar ve uygulandıkları ülkelerin ekonomik seviyesi dikkate alınarak şu dört grupta incelenir </w:t>
      </w:r>
      <w:r w:rsidRPr="00313B5C">
        <w:rPr>
          <w:rFonts w:ascii="Times New Roman" w:hAnsi="Times New Roman" w:cs="Times New Roman"/>
          <w:noProof/>
          <w:sz w:val="24"/>
          <w:szCs w:val="24"/>
          <w:lang w:eastAsia="tr-TR"/>
        </w:rPr>
        <w:t>(Sargutan, 2005):</w:t>
      </w:r>
    </w:p>
    <w:p w:rsidR="00F17ED1" w:rsidRPr="00313B5C" w:rsidRDefault="00F17ED1" w:rsidP="00313B5C">
      <w:pPr>
        <w:pStyle w:val="ListeParagraf"/>
        <w:numPr>
          <w:ilvl w:val="0"/>
          <w:numId w:val="10"/>
        </w:numPr>
        <w:spacing w:after="0" w:line="360" w:lineRule="auto"/>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Özel Teşebbüs /Serbest Pazar Tipi</w:t>
      </w:r>
    </w:p>
    <w:p w:rsidR="00F17ED1" w:rsidRPr="00313B5C" w:rsidRDefault="00F17ED1" w:rsidP="00313B5C">
      <w:pPr>
        <w:pStyle w:val="ListeParagraf"/>
        <w:numPr>
          <w:ilvl w:val="0"/>
          <w:numId w:val="10"/>
        </w:numPr>
        <w:spacing w:after="0" w:line="360" w:lineRule="auto"/>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Refah Yönelimli Tip</w:t>
      </w:r>
    </w:p>
    <w:p w:rsidR="00F17ED1" w:rsidRPr="00313B5C" w:rsidRDefault="00F17ED1" w:rsidP="00313B5C">
      <w:pPr>
        <w:pStyle w:val="ListeParagraf"/>
        <w:numPr>
          <w:ilvl w:val="0"/>
          <w:numId w:val="10"/>
        </w:numPr>
        <w:spacing w:before="240" w:after="0" w:line="360" w:lineRule="auto"/>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 xml:space="preserve">Kapsayıcı / Bütüncü / </w:t>
      </w:r>
      <w:proofErr w:type="spellStart"/>
      <w:r w:rsidRPr="00313B5C">
        <w:rPr>
          <w:rFonts w:ascii="Times New Roman" w:hAnsi="Times New Roman" w:cs="Times New Roman"/>
          <w:spacing w:val="4"/>
          <w:sz w:val="24"/>
          <w:szCs w:val="24"/>
        </w:rPr>
        <w:t>Tekçil</w:t>
      </w:r>
      <w:proofErr w:type="spellEnd"/>
      <w:r w:rsidRPr="00313B5C">
        <w:rPr>
          <w:rFonts w:ascii="Times New Roman" w:hAnsi="Times New Roman" w:cs="Times New Roman"/>
          <w:spacing w:val="4"/>
          <w:sz w:val="24"/>
          <w:szCs w:val="24"/>
        </w:rPr>
        <w:t xml:space="preserve"> Hizmet Tipi</w:t>
      </w:r>
    </w:p>
    <w:p w:rsidR="00F17ED1" w:rsidRPr="00313B5C" w:rsidRDefault="00F17ED1" w:rsidP="00313B5C">
      <w:pPr>
        <w:pStyle w:val="ListeParagraf"/>
        <w:numPr>
          <w:ilvl w:val="0"/>
          <w:numId w:val="10"/>
        </w:numPr>
        <w:spacing w:line="360" w:lineRule="auto"/>
        <w:jc w:val="both"/>
        <w:rPr>
          <w:rFonts w:ascii="Times New Roman" w:hAnsi="Times New Roman" w:cs="Times New Roman"/>
          <w:sz w:val="24"/>
          <w:szCs w:val="24"/>
          <w:lang w:eastAsia="tr-TR"/>
        </w:rPr>
      </w:pPr>
      <w:r w:rsidRPr="00313B5C">
        <w:rPr>
          <w:rFonts w:ascii="Times New Roman" w:hAnsi="Times New Roman" w:cs="Times New Roman"/>
          <w:spacing w:val="4"/>
          <w:sz w:val="24"/>
          <w:szCs w:val="24"/>
        </w:rPr>
        <w:t>Sosyalist / Merkezi Planlama Tipi</w:t>
      </w:r>
    </w:p>
    <w:p w:rsidR="00F17ED1" w:rsidRPr="00313B5C" w:rsidRDefault="00F17ED1" w:rsidP="00313B5C">
      <w:pPr>
        <w:spacing w:after="0"/>
        <w:jc w:val="both"/>
        <w:rPr>
          <w:rFonts w:ascii="Times New Roman" w:hAnsi="Times New Roman" w:cs="Times New Roman"/>
          <w:noProof/>
          <w:sz w:val="24"/>
          <w:szCs w:val="24"/>
          <w:lang w:eastAsia="tr-TR"/>
        </w:rPr>
      </w:pPr>
      <w:r w:rsidRPr="00313B5C">
        <w:rPr>
          <w:rFonts w:ascii="Times New Roman" w:hAnsi="Times New Roman" w:cs="Times New Roman"/>
          <w:sz w:val="24"/>
          <w:szCs w:val="24"/>
          <w:lang w:eastAsia="tr-TR"/>
        </w:rPr>
        <w:t xml:space="preserve">Bu makale kapsamında ele alınan ABD’de </w:t>
      </w:r>
      <w:r w:rsidRPr="00313B5C">
        <w:rPr>
          <w:rFonts w:ascii="Times New Roman" w:hAnsi="Times New Roman" w:cs="Times New Roman"/>
          <w:spacing w:val="4"/>
          <w:sz w:val="24"/>
          <w:szCs w:val="24"/>
        </w:rPr>
        <w:t xml:space="preserve">Özel Teşebbüs /Serbest Pazar Tipi Sağlık Sistemi (bireysel ve doğrudan ödemeler ve/veya isteğe bağlı sigortalılık) uygulanırken Türkiye’de Refah Yönelimli Sağlık Sistemi (zorunlu hastalık sigortası ve sağlık sosyal sigortası) uygulanmaktadır </w:t>
      </w:r>
      <w:r w:rsidRPr="00313B5C">
        <w:rPr>
          <w:rFonts w:ascii="Times New Roman" w:hAnsi="Times New Roman" w:cs="Times New Roman"/>
          <w:noProof/>
          <w:sz w:val="24"/>
          <w:szCs w:val="24"/>
          <w:lang w:eastAsia="tr-TR"/>
        </w:rPr>
        <w:t xml:space="preserve">(Sargutan, 2005). Söz konusu iki ülke, bu doğrultuda, sağlık sisteminin bileşenleri (insangücü, finansman, hizmet sunumu, tıbbi teknoloji vb.) de dikkate alınarak karşılaştırılmıştır. </w:t>
      </w:r>
    </w:p>
    <w:p w:rsidR="00F17ED1" w:rsidRPr="00313B5C" w:rsidRDefault="00F17ED1" w:rsidP="00313B5C">
      <w:pPr>
        <w:spacing w:after="0"/>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 xml:space="preserve">Bir ülke kendi sağlık durumunu değerlendirebilmek için başka bir ülkeye daha ihtiyaç duymaktadır. Bu yüzden sağlık göstergelerinin karşılaştırılması ülkeler açısından büyük önem taşımaktadır. Bu çalışma Amerika ve Türkiye sağlık göstergelerini karşılaştırdığı için önemli olup ilgili </w:t>
      </w:r>
      <w:proofErr w:type="gramStart"/>
      <w:r w:rsidRPr="00313B5C">
        <w:rPr>
          <w:rFonts w:ascii="Times New Roman" w:hAnsi="Times New Roman" w:cs="Times New Roman"/>
          <w:spacing w:val="4"/>
          <w:sz w:val="24"/>
          <w:szCs w:val="24"/>
        </w:rPr>
        <w:t>literatüre</w:t>
      </w:r>
      <w:proofErr w:type="gramEnd"/>
      <w:r w:rsidRPr="00313B5C">
        <w:rPr>
          <w:rFonts w:ascii="Times New Roman" w:hAnsi="Times New Roman" w:cs="Times New Roman"/>
          <w:spacing w:val="4"/>
          <w:sz w:val="24"/>
          <w:szCs w:val="24"/>
        </w:rPr>
        <w:t xml:space="preserve"> katkı sağlayacağı düşünülmektedir. İstatistiki veriler her yıl güncellendiği için son verilerle yapılmış bir çalışmaya rastlanmaması bu çalışmanın önemi artırmaktadır.</w:t>
      </w:r>
    </w:p>
    <w:p w:rsidR="00F17ED1" w:rsidRPr="00313B5C" w:rsidRDefault="00F17ED1" w:rsidP="00313B5C">
      <w:pPr>
        <w:pStyle w:val="Balk1"/>
        <w:numPr>
          <w:ilvl w:val="0"/>
          <w:numId w:val="12"/>
        </w:numPr>
        <w:spacing w:after="100" w:afterAutospacing="1" w:line="360" w:lineRule="auto"/>
        <w:jc w:val="both"/>
        <w:rPr>
          <w:rFonts w:ascii="Times New Roman" w:hAnsi="Times New Roman" w:cs="Times New Roman"/>
          <w:sz w:val="24"/>
          <w:szCs w:val="24"/>
        </w:rPr>
      </w:pPr>
      <w:bookmarkStart w:id="2" w:name="_Toc32685133"/>
      <w:bookmarkStart w:id="3" w:name="_Toc42430892"/>
      <w:r w:rsidRPr="00313B5C">
        <w:rPr>
          <w:rFonts w:ascii="Times New Roman" w:hAnsi="Times New Roman" w:cs="Times New Roman"/>
          <w:sz w:val="24"/>
          <w:szCs w:val="24"/>
        </w:rPr>
        <w:t>ÜLKE TANITIMI</w:t>
      </w:r>
      <w:bookmarkEnd w:id="2"/>
      <w:bookmarkEnd w:id="3"/>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Amerika Birleşik Devletleri </w:t>
      </w:r>
      <w:r w:rsidRPr="00313B5C">
        <w:rPr>
          <w:rFonts w:ascii="Times New Roman" w:hAnsi="Times New Roman" w:cs="Times New Roman"/>
          <w:sz w:val="24"/>
          <w:szCs w:val="24"/>
          <w:lang w:eastAsia="tr-TR"/>
        </w:rPr>
        <w:t xml:space="preserve">9.834.000 km² yüzölçümüne sahiptir. </w:t>
      </w:r>
      <w:r w:rsidRPr="00313B5C">
        <w:rPr>
          <w:rFonts w:ascii="Times New Roman" w:hAnsi="Times New Roman" w:cs="Times New Roman"/>
          <w:sz w:val="24"/>
          <w:szCs w:val="24"/>
        </w:rPr>
        <w:t xml:space="preserve">Başkenti Washington D.C. olan </w:t>
      </w:r>
      <w:r w:rsidRPr="00313B5C">
        <w:rPr>
          <w:rFonts w:ascii="Times New Roman" w:hAnsi="Times New Roman" w:cs="Times New Roman"/>
          <w:sz w:val="24"/>
          <w:szCs w:val="24"/>
          <w:lang w:eastAsia="tr-TR"/>
        </w:rPr>
        <w:t xml:space="preserve">Amerika Birleşik Devletleri, </w:t>
      </w:r>
      <w:r w:rsidRPr="00313B5C">
        <w:rPr>
          <w:rFonts w:ascii="Times New Roman" w:hAnsi="Times New Roman" w:cs="Times New Roman"/>
          <w:sz w:val="24"/>
          <w:szCs w:val="24"/>
        </w:rPr>
        <w:t>Batıda Büyük Okyanus ile doğuda Atlas Okyanusu’nun arasında bulunan federal bir anayasal cumhuriyettir. Kanada’nın güneyinde yer alan Amerika Birleşik Devletleri, güneyde Meksika ile komşudur</w:t>
      </w:r>
      <w:r w:rsidRPr="00313B5C">
        <w:rPr>
          <w:rFonts w:ascii="Times New Roman" w:hAnsi="Times New Roman" w:cs="Times New Roman"/>
          <w:noProof/>
          <w:sz w:val="24"/>
          <w:szCs w:val="24"/>
        </w:rPr>
        <w:t xml:space="preserve"> (Encyclopaedia Britannica, 2020)</w:t>
      </w:r>
      <w:r w:rsidRPr="00313B5C">
        <w:rPr>
          <w:rFonts w:ascii="Times New Roman" w:hAnsi="Times New Roman" w:cs="Times New Roman"/>
          <w:sz w:val="24"/>
          <w:szCs w:val="24"/>
        </w:rPr>
        <w:t>.</w:t>
      </w:r>
    </w:p>
    <w:p w:rsidR="00F17ED1" w:rsidRPr="00313B5C" w:rsidRDefault="00F17ED1" w:rsidP="00313B5C">
      <w:pPr>
        <w:jc w:val="both"/>
        <w:rPr>
          <w:rFonts w:ascii="Times New Roman" w:hAnsi="Times New Roman" w:cs="Times New Roman"/>
          <w:sz w:val="24"/>
          <w:szCs w:val="24"/>
          <w:lang w:eastAsia="tr-TR"/>
        </w:rPr>
      </w:pPr>
      <w:r w:rsidRPr="00313B5C">
        <w:rPr>
          <w:rFonts w:ascii="Times New Roman" w:hAnsi="Times New Roman" w:cs="Times New Roman"/>
          <w:sz w:val="24"/>
          <w:szCs w:val="24"/>
          <w:lang w:eastAsia="tr-TR"/>
        </w:rPr>
        <w:t>327.167.434</w:t>
      </w:r>
      <w:r w:rsidRPr="00313B5C">
        <w:rPr>
          <w:rFonts w:ascii="Times New Roman" w:hAnsi="Times New Roman" w:cs="Times New Roman"/>
          <w:sz w:val="24"/>
          <w:szCs w:val="24"/>
        </w:rPr>
        <w:t xml:space="preserve"> milyon insanın yaşadığı Amerika nüfusu etnik olarak çok çeşitlidir. Etnik yapının bu kadar çeşitli olmasında göçlerin etkisi büyüktür. Etnik çeşitliliğin fazla olması dini çeşitliliği de beraberinde getirmiştir. </w:t>
      </w:r>
      <w:r w:rsidRPr="00313B5C">
        <w:rPr>
          <w:rFonts w:ascii="Times New Roman" w:hAnsi="Times New Roman" w:cs="Times New Roman"/>
          <w:sz w:val="24"/>
          <w:szCs w:val="24"/>
          <w:lang w:eastAsia="tr-TR"/>
        </w:rPr>
        <w:t xml:space="preserve">50 eyaletten oluşan Amerika’da her eyaletin kendi anayasası, bir valisi, bir yasama meclisi ve bir yargı organı vardır </w:t>
      </w:r>
      <w:sdt>
        <w:sdtPr>
          <w:rPr>
            <w:rFonts w:ascii="Times New Roman" w:hAnsi="Times New Roman" w:cs="Times New Roman"/>
            <w:sz w:val="24"/>
            <w:szCs w:val="24"/>
            <w:lang w:eastAsia="tr-TR"/>
          </w:rPr>
          <w:id w:val="2117710568"/>
          <w:citation/>
        </w:sdtPr>
        <w:sdtEndPr/>
        <w:sdtContent>
          <w:r w:rsidRPr="00313B5C">
            <w:rPr>
              <w:rFonts w:ascii="Times New Roman" w:hAnsi="Times New Roman" w:cs="Times New Roman"/>
              <w:sz w:val="24"/>
              <w:szCs w:val="24"/>
              <w:lang w:eastAsia="tr-TR"/>
            </w:rPr>
            <w:fldChar w:fldCharType="begin"/>
          </w:r>
          <w:r w:rsidRPr="00313B5C">
            <w:rPr>
              <w:rFonts w:ascii="Times New Roman" w:hAnsi="Times New Roman" w:cs="Times New Roman"/>
              <w:sz w:val="24"/>
              <w:szCs w:val="24"/>
              <w:lang w:eastAsia="tr-TR"/>
            </w:rPr>
            <w:instrText xml:space="preserve"> CITATION Enc20 \l 1055 </w:instrText>
          </w:r>
          <w:r w:rsidRPr="00313B5C">
            <w:rPr>
              <w:rFonts w:ascii="Times New Roman" w:hAnsi="Times New Roman" w:cs="Times New Roman"/>
              <w:sz w:val="24"/>
              <w:szCs w:val="24"/>
              <w:lang w:eastAsia="tr-TR"/>
            </w:rPr>
            <w:fldChar w:fldCharType="separate"/>
          </w:r>
          <w:r w:rsidRPr="00313B5C">
            <w:rPr>
              <w:rFonts w:ascii="Times New Roman" w:hAnsi="Times New Roman" w:cs="Times New Roman"/>
              <w:noProof/>
              <w:sz w:val="24"/>
              <w:szCs w:val="24"/>
              <w:lang w:eastAsia="tr-TR"/>
            </w:rPr>
            <w:t>(Encyclopaedia Britannica, 2020)</w:t>
          </w:r>
          <w:r w:rsidRPr="00313B5C">
            <w:rPr>
              <w:rFonts w:ascii="Times New Roman" w:hAnsi="Times New Roman" w:cs="Times New Roman"/>
              <w:sz w:val="24"/>
              <w:szCs w:val="24"/>
              <w:lang w:eastAsia="tr-TR"/>
            </w:rPr>
            <w:fldChar w:fldCharType="end"/>
          </w:r>
        </w:sdtContent>
      </w:sdt>
      <w:r w:rsidRPr="00313B5C">
        <w:rPr>
          <w:rFonts w:ascii="Times New Roman" w:hAnsi="Times New Roman" w:cs="Times New Roman"/>
          <w:sz w:val="24"/>
          <w:szCs w:val="24"/>
          <w:lang w:eastAsia="tr-TR"/>
        </w:rPr>
        <w:t>.</w:t>
      </w:r>
    </w:p>
    <w:p w:rsidR="00F17ED1" w:rsidRPr="00313B5C" w:rsidRDefault="00F17ED1" w:rsidP="00313B5C">
      <w:pPr>
        <w:spacing w:after="0"/>
        <w:jc w:val="both"/>
        <w:rPr>
          <w:rFonts w:ascii="Times New Roman" w:hAnsi="Times New Roman" w:cs="Times New Roman"/>
          <w:sz w:val="24"/>
          <w:szCs w:val="24"/>
          <w:lang w:eastAsia="tr-TR"/>
        </w:rPr>
      </w:pPr>
      <w:r w:rsidRPr="00313B5C">
        <w:rPr>
          <w:rFonts w:ascii="Times New Roman" w:hAnsi="Times New Roman" w:cs="Times New Roman"/>
          <w:sz w:val="24"/>
          <w:szCs w:val="24"/>
          <w:lang w:eastAsia="tr-TR"/>
        </w:rPr>
        <w:t xml:space="preserve">Amerika Gayri Safi Yurtiçi </w:t>
      </w:r>
      <w:proofErr w:type="gramStart"/>
      <w:r w:rsidRPr="00313B5C">
        <w:rPr>
          <w:rFonts w:ascii="Times New Roman" w:hAnsi="Times New Roman" w:cs="Times New Roman"/>
          <w:sz w:val="24"/>
          <w:szCs w:val="24"/>
          <w:lang w:eastAsia="tr-TR"/>
        </w:rPr>
        <w:t>Hasıla</w:t>
      </w:r>
      <w:proofErr w:type="gramEnd"/>
      <w:r w:rsidRPr="00313B5C">
        <w:rPr>
          <w:rFonts w:ascii="Times New Roman" w:hAnsi="Times New Roman" w:cs="Times New Roman"/>
          <w:sz w:val="24"/>
          <w:szCs w:val="24"/>
          <w:lang w:eastAsia="tr-TR"/>
        </w:rPr>
        <w:t xml:space="preserve"> (GSMH) bakımından ekonomik gücü en yüksek olan devlettir. 2017 yılı verilerine göre 19,39 trilyon ABD Doları, kişi başına milli gelir düzeyi 60.200 ABD Dolarıdır </w:t>
      </w:r>
      <w:sdt>
        <w:sdtPr>
          <w:rPr>
            <w:rFonts w:ascii="Times New Roman" w:hAnsi="Times New Roman" w:cs="Times New Roman"/>
            <w:sz w:val="24"/>
            <w:szCs w:val="24"/>
            <w:lang w:eastAsia="tr-TR"/>
          </w:rPr>
          <w:id w:val="-1987376841"/>
          <w:citation/>
        </w:sdtPr>
        <w:sdtEndPr/>
        <w:sdtContent>
          <w:r w:rsidRPr="00313B5C">
            <w:rPr>
              <w:rFonts w:ascii="Times New Roman" w:hAnsi="Times New Roman" w:cs="Times New Roman"/>
              <w:sz w:val="24"/>
              <w:szCs w:val="24"/>
              <w:lang w:eastAsia="tr-TR"/>
            </w:rPr>
            <w:fldChar w:fldCharType="begin"/>
          </w:r>
          <w:r w:rsidRPr="00313B5C">
            <w:rPr>
              <w:rFonts w:ascii="Times New Roman" w:hAnsi="Times New Roman" w:cs="Times New Roman"/>
              <w:sz w:val="24"/>
              <w:szCs w:val="24"/>
              <w:lang w:eastAsia="tr-TR"/>
            </w:rPr>
            <w:instrText xml:space="preserve">CITATION The20 \l 1055 </w:instrText>
          </w:r>
          <w:r w:rsidRPr="00313B5C">
            <w:rPr>
              <w:rFonts w:ascii="Times New Roman" w:hAnsi="Times New Roman" w:cs="Times New Roman"/>
              <w:sz w:val="24"/>
              <w:szCs w:val="24"/>
              <w:lang w:eastAsia="tr-TR"/>
            </w:rPr>
            <w:fldChar w:fldCharType="separate"/>
          </w:r>
          <w:r w:rsidRPr="00313B5C">
            <w:rPr>
              <w:rFonts w:ascii="Times New Roman" w:hAnsi="Times New Roman" w:cs="Times New Roman"/>
              <w:noProof/>
              <w:sz w:val="24"/>
              <w:szCs w:val="24"/>
              <w:lang w:eastAsia="tr-TR"/>
            </w:rPr>
            <w:t>(The World Bank, 2019)</w:t>
          </w:r>
          <w:r w:rsidRPr="00313B5C">
            <w:rPr>
              <w:rFonts w:ascii="Times New Roman" w:hAnsi="Times New Roman" w:cs="Times New Roman"/>
              <w:sz w:val="24"/>
              <w:szCs w:val="24"/>
              <w:lang w:eastAsia="tr-TR"/>
            </w:rPr>
            <w:fldChar w:fldCharType="end"/>
          </w:r>
        </w:sdtContent>
      </w:sdt>
      <w:r w:rsidRPr="00313B5C">
        <w:rPr>
          <w:rFonts w:ascii="Times New Roman" w:hAnsi="Times New Roman" w:cs="Times New Roman"/>
          <w:sz w:val="24"/>
          <w:szCs w:val="24"/>
          <w:lang w:eastAsia="tr-TR"/>
        </w:rPr>
        <w:t xml:space="preserve">. Ülke ekonomisi için büyük öneme sahip olan ithalat ve ihracatın toplam değeri GSMH’nin onda birine eşittir. Kanada, Çin, Meksika, Japonya, Almanya, İngiltere ve Güney Kore başlıca ticaret ortaklarıdır (Şekil 1-2). Ofis </w:t>
      </w:r>
      <w:r w:rsidRPr="00313B5C">
        <w:rPr>
          <w:rFonts w:ascii="Times New Roman" w:hAnsi="Times New Roman" w:cs="Times New Roman"/>
          <w:sz w:val="24"/>
          <w:szCs w:val="24"/>
          <w:lang w:eastAsia="tr-TR"/>
        </w:rPr>
        <w:lastRenderedPageBreak/>
        <w:t xml:space="preserve">makineleri, kimyasal ürünler, motorlu taşıtlar, uçaklar ve bilimsel </w:t>
      </w:r>
      <w:proofErr w:type="gramStart"/>
      <w:r w:rsidRPr="00313B5C">
        <w:rPr>
          <w:rFonts w:ascii="Times New Roman" w:hAnsi="Times New Roman" w:cs="Times New Roman"/>
          <w:sz w:val="24"/>
          <w:szCs w:val="24"/>
          <w:lang w:eastAsia="tr-TR"/>
        </w:rPr>
        <w:t>ekipmanlar</w:t>
      </w:r>
      <w:proofErr w:type="gramEnd"/>
      <w:r w:rsidRPr="00313B5C">
        <w:rPr>
          <w:rFonts w:ascii="Times New Roman" w:hAnsi="Times New Roman" w:cs="Times New Roman"/>
          <w:sz w:val="24"/>
          <w:szCs w:val="24"/>
          <w:lang w:eastAsia="tr-TR"/>
        </w:rPr>
        <w:t xml:space="preserve"> başlıca ihracat ürünleri iken; başlıca ithalat ürünleri petrol ve yakıt ürünlerini, makine ve nakliye ekipmanlarını kapsamaktadır</w:t>
      </w:r>
      <w:sdt>
        <w:sdtPr>
          <w:rPr>
            <w:rFonts w:ascii="Times New Roman" w:hAnsi="Times New Roman" w:cs="Times New Roman"/>
            <w:sz w:val="24"/>
            <w:szCs w:val="24"/>
            <w:lang w:eastAsia="tr-TR"/>
          </w:rPr>
          <w:id w:val="1632521233"/>
          <w:citation/>
        </w:sdtPr>
        <w:sdtEndPr/>
        <w:sdtContent>
          <w:r w:rsidRPr="00313B5C">
            <w:rPr>
              <w:rFonts w:ascii="Times New Roman" w:hAnsi="Times New Roman" w:cs="Times New Roman"/>
              <w:sz w:val="24"/>
              <w:szCs w:val="24"/>
              <w:lang w:eastAsia="tr-TR"/>
            </w:rPr>
            <w:fldChar w:fldCharType="begin"/>
          </w:r>
          <w:r w:rsidRPr="00313B5C">
            <w:rPr>
              <w:rFonts w:ascii="Times New Roman" w:hAnsi="Times New Roman" w:cs="Times New Roman"/>
              <w:sz w:val="24"/>
              <w:szCs w:val="24"/>
              <w:lang w:eastAsia="tr-TR"/>
            </w:rPr>
            <w:instrText xml:space="preserve"> CITATION Enc20 \l 1055 </w:instrText>
          </w:r>
          <w:r w:rsidRPr="00313B5C">
            <w:rPr>
              <w:rFonts w:ascii="Times New Roman" w:hAnsi="Times New Roman" w:cs="Times New Roman"/>
              <w:sz w:val="24"/>
              <w:szCs w:val="24"/>
              <w:lang w:eastAsia="tr-TR"/>
            </w:rPr>
            <w:fldChar w:fldCharType="separate"/>
          </w:r>
          <w:r w:rsidRPr="00313B5C">
            <w:rPr>
              <w:rFonts w:ascii="Times New Roman" w:hAnsi="Times New Roman" w:cs="Times New Roman"/>
              <w:noProof/>
              <w:sz w:val="24"/>
              <w:szCs w:val="24"/>
              <w:lang w:eastAsia="tr-TR"/>
            </w:rPr>
            <w:t xml:space="preserve"> (Encyclopaedia Britannica, 2020)</w:t>
          </w:r>
          <w:r w:rsidRPr="00313B5C">
            <w:rPr>
              <w:rFonts w:ascii="Times New Roman" w:hAnsi="Times New Roman" w:cs="Times New Roman"/>
              <w:sz w:val="24"/>
              <w:szCs w:val="24"/>
              <w:lang w:eastAsia="tr-TR"/>
            </w:rPr>
            <w:fldChar w:fldCharType="end"/>
          </w:r>
        </w:sdtContent>
      </w:sdt>
      <w:r w:rsidRPr="00313B5C">
        <w:rPr>
          <w:rFonts w:ascii="Times New Roman" w:hAnsi="Times New Roman" w:cs="Times New Roman"/>
          <w:sz w:val="24"/>
          <w:szCs w:val="24"/>
          <w:lang w:eastAsia="tr-TR"/>
        </w:rPr>
        <w:t>.</w:t>
      </w:r>
      <w:bookmarkStart w:id="4" w:name="_Toc33364120"/>
    </w:p>
    <w:p w:rsidR="00F17ED1" w:rsidRPr="00313B5C" w:rsidRDefault="00F17ED1" w:rsidP="00313B5C">
      <w:pPr>
        <w:jc w:val="both"/>
        <w:rPr>
          <w:rFonts w:ascii="Times New Roman" w:hAnsi="Times New Roman" w:cs="Times New Roman"/>
          <w:b/>
          <w:sz w:val="24"/>
          <w:szCs w:val="24"/>
        </w:rPr>
        <w:sectPr w:rsidR="00F17ED1" w:rsidRPr="00313B5C" w:rsidSect="00F17ED1">
          <w:footerReference w:type="default" r:id="rId12"/>
          <w:type w:val="continuous"/>
          <w:pgSz w:w="11906" w:h="16838"/>
          <w:pgMar w:top="1417" w:right="1417" w:bottom="1417" w:left="1417" w:header="708" w:footer="708" w:gutter="0"/>
          <w:cols w:space="708"/>
          <w:docGrid w:linePitch="360"/>
        </w:sectPr>
      </w:pPr>
    </w:p>
    <w:p w:rsidR="00F17ED1" w:rsidRPr="00313B5C" w:rsidRDefault="00F17ED1" w:rsidP="00313B5C">
      <w:pPr>
        <w:spacing w:after="0"/>
        <w:jc w:val="both"/>
        <w:rPr>
          <w:rFonts w:ascii="Times New Roman" w:hAnsi="Times New Roman" w:cs="Times New Roman"/>
          <w:b/>
          <w:sz w:val="24"/>
          <w:szCs w:val="24"/>
        </w:rPr>
      </w:pPr>
    </w:p>
    <w:p w:rsidR="00F17ED1" w:rsidRPr="00313B5C" w:rsidRDefault="00F17ED1" w:rsidP="00313B5C">
      <w:pPr>
        <w:spacing w:after="0"/>
        <w:jc w:val="both"/>
        <w:rPr>
          <w:rFonts w:ascii="Times New Roman" w:hAnsi="Times New Roman" w:cs="Times New Roman"/>
          <w:b/>
          <w:sz w:val="24"/>
          <w:szCs w:val="24"/>
        </w:rPr>
      </w:pPr>
    </w:p>
    <w:p w:rsidR="00F17ED1" w:rsidRPr="00313B5C" w:rsidRDefault="00F17ED1" w:rsidP="00313B5C">
      <w:pPr>
        <w:spacing w:before="240"/>
        <w:jc w:val="both"/>
        <w:rPr>
          <w:rFonts w:ascii="Times New Roman" w:hAnsi="Times New Roman" w:cs="Times New Roman"/>
          <w:b/>
          <w:sz w:val="24"/>
          <w:szCs w:val="24"/>
        </w:rPr>
        <w:sectPr w:rsidR="00F17ED1" w:rsidRPr="00313B5C" w:rsidSect="009E683F">
          <w:type w:val="continuous"/>
          <w:pgSz w:w="11906" w:h="16838"/>
          <w:pgMar w:top="1417" w:right="1417" w:bottom="1417" w:left="1417" w:header="708" w:footer="708" w:gutter="0"/>
          <w:cols w:num="2" w:space="708"/>
          <w:docGrid w:linePitch="360"/>
        </w:sectPr>
      </w:pPr>
    </w:p>
    <w:p w:rsidR="00F17ED1" w:rsidRPr="00313B5C" w:rsidRDefault="00F17ED1" w:rsidP="00313B5C">
      <w:pPr>
        <w:spacing w:before="240"/>
        <w:jc w:val="both"/>
        <w:rPr>
          <w:rFonts w:ascii="Times New Roman" w:hAnsi="Times New Roman" w:cs="Times New Roman"/>
          <w:b/>
          <w:sz w:val="24"/>
          <w:szCs w:val="24"/>
        </w:rPr>
      </w:pPr>
      <w:r w:rsidRPr="00313B5C">
        <w:rPr>
          <w:rFonts w:ascii="Times New Roman" w:hAnsi="Times New Roman" w:cs="Times New Roman"/>
          <w:b/>
          <w:sz w:val="24"/>
          <w:szCs w:val="24"/>
        </w:rPr>
        <w:lastRenderedPageBreak/>
        <w:t>Şekil 1:</w:t>
      </w:r>
      <w:r w:rsidRPr="00313B5C">
        <w:rPr>
          <w:rFonts w:ascii="Times New Roman" w:hAnsi="Times New Roman" w:cs="Times New Roman"/>
          <w:sz w:val="24"/>
          <w:szCs w:val="24"/>
        </w:rPr>
        <w:t xml:space="preserve"> ABD İhracat ve İthalat Yaptığı Ülkeler (2015)</w:t>
      </w:r>
      <w:bookmarkEnd w:id="4"/>
    </w:p>
    <w:p w:rsidR="00F17ED1" w:rsidRPr="00313B5C" w:rsidRDefault="00F17ED1" w:rsidP="00313B5C">
      <w:pPr>
        <w:spacing w:before="240"/>
        <w:jc w:val="both"/>
        <w:rPr>
          <w:rFonts w:ascii="Times New Roman" w:hAnsi="Times New Roman" w:cs="Times New Roman"/>
          <w:sz w:val="24"/>
          <w:szCs w:val="24"/>
        </w:rPr>
      </w:pPr>
      <w:r w:rsidRPr="00313B5C">
        <w:rPr>
          <w:rFonts w:ascii="Times New Roman" w:hAnsi="Times New Roman" w:cs="Times New Roman"/>
          <w:noProof/>
          <w:sz w:val="24"/>
          <w:szCs w:val="24"/>
          <w:lang w:eastAsia="tr-TR"/>
        </w:rPr>
        <w:drawing>
          <wp:inline distT="0" distB="0" distL="0" distR="0" wp14:anchorId="5577B34B" wp14:editId="6C261C22">
            <wp:extent cx="5700089" cy="2472855"/>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1233" cy="2521072"/>
                    </a:xfrm>
                    <a:prstGeom prst="rect">
                      <a:avLst/>
                    </a:prstGeom>
                  </pic:spPr>
                </pic:pic>
              </a:graphicData>
            </a:graphic>
          </wp:inline>
        </w:drawing>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Encyclopaedia Britannica, 2020</w:t>
      </w:r>
    </w:p>
    <w:p w:rsidR="00F17ED1" w:rsidRPr="00313B5C" w:rsidRDefault="00F17ED1" w:rsidP="00313B5C">
      <w:pPr>
        <w:jc w:val="both"/>
        <w:rPr>
          <w:rFonts w:ascii="Times New Roman" w:hAnsi="Times New Roman" w:cs="Times New Roman"/>
          <w:noProof/>
          <w:sz w:val="24"/>
          <w:szCs w:val="24"/>
        </w:rPr>
      </w:pPr>
    </w:p>
    <w:p w:rsidR="00F17ED1" w:rsidRPr="00313B5C" w:rsidRDefault="00F17ED1" w:rsidP="00313B5C">
      <w:pPr>
        <w:pStyle w:val="Balk1"/>
        <w:numPr>
          <w:ilvl w:val="0"/>
          <w:numId w:val="12"/>
        </w:numPr>
        <w:spacing w:after="100" w:afterAutospacing="1" w:line="360" w:lineRule="auto"/>
        <w:jc w:val="both"/>
        <w:rPr>
          <w:rFonts w:ascii="Times New Roman" w:hAnsi="Times New Roman" w:cs="Times New Roman"/>
          <w:sz w:val="24"/>
          <w:szCs w:val="24"/>
        </w:rPr>
      </w:pPr>
      <w:bookmarkStart w:id="5" w:name="_Toc32685134"/>
      <w:bookmarkStart w:id="6" w:name="_Toc42430893"/>
      <w:r w:rsidRPr="00313B5C">
        <w:rPr>
          <w:rFonts w:ascii="Times New Roman" w:hAnsi="Times New Roman" w:cs="Times New Roman"/>
          <w:sz w:val="24"/>
          <w:szCs w:val="24"/>
        </w:rPr>
        <w:t>AMERİKAN SAĞLIK SİSTEMİ</w:t>
      </w:r>
      <w:bookmarkEnd w:id="5"/>
      <w:bookmarkEnd w:id="6"/>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 xml:space="preserve">1787 yılında kurulan Philadelphia Doktorlar Koleji, Amerika’nın en eski profesyonel tıbbi organizasyonlarından biridir (The College of Physicians of Philadelphia, 2020). </w:t>
      </w:r>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 xml:space="preserve">Philadelphia’da 1821 yılında ilk Eczacılık Koleji kurulmuştur. 1850’li yıllardan itibaren yaklaşık 50 yıl boyunca kolera, tüberküloz gibi enfeksiyon hastalıkları en önemli sağlık problemleri olmuştur. 1900’lu yılların başlarında bulaşıcı hastalıklar büyük çapta kontrol altına alınmıştır. 1910 tarihli Flexner Raporu Amerika’da tıp eğitiminin doğasını değiştirmiştir. Bu rapor tescilli okulların kapatılması, tıp eğitiminde standartların oluşturulması, modern bilgiyi ve ilerlemeyi destekleyen eğitim anlayışı gibi sonuçları beraberinde getirmiştir (US National Library of Medicine, 2011). </w:t>
      </w:r>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 xml:space="preserve">1929 yılı itibariyle hizmet veren Blue Cross Blue Shield (BCBS) şirketleri üyelerine sağlık hizmetlerinden yararlanma açısından kolaylıklar sağlamıştır. Medicare ve Medicaid kapsamında verilen hizmetlerin başlangıcı sayılabilecek hizmetleri sunmaktadır </w:t>
      </w:r>
      <w:sdt>
        <w:sdtPr>
          <w:rPr>
            <w:rFonts w:ascii="Times New Roman" w:hAnsi="Times New Roman" w:cs="Times New Roman"/>
            <w:noProof/>
            <w:sz w:val="24"/>
            <w:szCs w:val="24"/>
            <w:lang w:eastAsia="tr-TR"/>
          </w:rPr>
          <w:id w:val="1491606625"/>
          <w:citation/>
        </w:sdtPr>
        <w:sdtEndPr/>
        <w:sdtContent>
          <w:r w:rsidRPr="00313B5C">
            <w:rPr>
              <w:rFonts w:ascii="Times New Roman" w:hAnsi="Times New Roman" w:cs="Times New Roman"/>
              <w:noProof/>
              <w:sz w:val="24"/>
              <w:szCs w:val="24"/>
              <w:lang w:eastAsia="tr-TR"/>
            </w:rPr>
            <w:fldChar w:fldCharType="begin"/>
          </w:r>
          <w:r w:rsidRPr="00313B5C">
            <w:rPr>
              <w:rFonts w:ascii="Times New Roman" w:hAnsi="Times New Roman" w:cs="Times New Roman"/>
              <w:noProof/>
              <w:sz w:val="24"/>
              <w:szCs w:val="24"/>
              <w:lang w:eastAsia="tr-TR"/>
            </w:rPr>
            <w:instrText xml:space="preserve"> CITATION Blu20 \l 1055 </w:instrText>
          </w:r>
          <w:r w:rsidRPr="00313B5C">
            <w:rPr>
              <w:rFonts w:ascii="Times New Roman" w:hAnsi="Times New Roman" w:cs="Times New Roman"/>
              <w:noProof/>
              <w:sz w:val="24"/>
              <w:szCs w:val="24"/>
              <w:lang w:eastAsia="tr-TR"/>
            </w:rPr>
            <w:fldChar w:fldCharType="separate"/>
          </w:r>
          <w:r w:rsidRPr="00313B5C">
            <w:rPr>
              <w:rFonts w:ascii="Times New Roman" w:hAnsi="Times New Roman" w:cs="Times New Roman"/>
              <w:noProof/>
              <w:sz w:val="24"/>
              <w:szCs w:val="24"/>
              <w:lang w:eastAsia="tr-TR"/>
            </w:rPr>
            <w:t>(Blue Cross Blue Shield, 2020)</w:t>
          </w:r>
          <w:r w:rsidRPr="00313B5C">
            <w:rPr>
              <w:rFonts w:ascii="Times New Roman" w:hAnsi="Times New Roman" w:cs="Times New Roman"/>
              <w:noProof/>
              <w:sz w:val="24"/>
              <w:szCs w:val="24"/>
              <w:lang w:eastAsia="tr-TR"/>
            </w:rPr>
            <w:fldChar w:fldCharType="end"/>
          </w:r>
        </w:sdtContent>
      </w:sdt>
      <w:r w:rsidRPr="00313B5C">
        <w:rPr>
          <w:rFonts w:ascii="Times New Roman" w:hAnsi="Times New Roman" w:cs="Times New Roman"/>
          <w:noProof/>
          <w:sz w:val="24"/>
          <w:szCs w:val="24"/>
          <w:lang w:eastAsia="tr-TR"/>
        </w:rPr>
        <w:t xml:space="preserve">. </w:t>
      </w:r>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 xml:space="preserve">ABD sigorta kapsamı incelendiğinde çocukların bu hizmetlerden yetişkinlere oranla daha fazla yararlandığı görülmektedir. Bu bağlamda en büyük pay özel sigorta şirketlerine ait iken ikinci sırada medicaid yer almaktadır. En küçük pay ise sigortasızlara aittir. 2018 yılı verilerine göre </w:t>
      </w:r>
      <w:r w:rsidRPr="00313B5C">
        <w:rPr>
          <w:rFonts w:ascii="Times New Roman" w:hAnsi="Times New Roman" w:cs="Times New Roman"/>
          <w:noProof/>
          <w:sz w:val="24"/>
          <w:szCs w:val="24"/>
          <w:lang w:eastAsia="tr-TR"/>
        </w:rPr>
        <w:lastRenderedPageBreak/>
        <w:t>çocukların %54.7’si özel sigorta, %36’sı medicaid, %5.2’si sigortasız grup içinde yer almaktadır (Health, United States, 2018, s. 24-25).</w:t>
      </w:r>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2007 yılında sağlık harcamalarının en büyük kalemi olan hastane maliyetleri %36.1’lik paya sahip iken 2017 yılında bu rakamın %38.6’ya yükseldiği görülmektedir. Halen en büyük harcama kalemi hastane maliyetleridir (Health, United States, 2018, s. 23).</w:t>
      </w:r>
    </w:p>
    <w:p w:rsidR="00F17ED1" w:rsidRPr="00313B5C" w:rsidRDefault="00F17ED1" w:rsidP="00313B5C">
      <w:pPr>
        <w:jc w:val="both"/>
        <w:rPr>
          <w:rFonts w:ascii="Times New Roman" w:hAnsi="Times New Roman" w:cs="Times New Roman"/>
          <w:noProof/>
          <w:sz w:val="24"/>
          <w:szCs w:val="24"/>
          <w:lang w:eastAsia="tr-TR"/>
        </w:rPr>
      </w:pPr>
      <w:r w:rsidRPr="00313B5C">
        <w:rPr>
          <w:rFonts w:ascii="Times New Roman" w:hAnsi="Times New Roman" w:cs="Times New Roman"/>
          <w:noProof/>
          <w:sz w:val="24"/>
          <w:szCs w:val="24"/>
          <w:lang w:eastAsia="tr-TR"/>
        </w:rPr>
        <w:t>1965 yılından itibaren medicare ve medicaid yasalaşmış ve finansman kaynağı olarak kamusal fonlardan yararlanılmıştır. Artan sağlık hizmetleri maliyetini kontrol altına almak için 1970’li yıllardan itibaren Sağlık Bakım Organizasyonları (HMO), Tercihli Hizmet Organizasyonları (PPO) ve Hekim Hastane Organizasyonları (PHO) gibi sağlık yönetim sistemleri uygulanmaya başlanmıştır (Sargutan, 2006, s. 190).</w:t>
      </w:r>
    </w:p>
    <w:p w:rsidR="00F17ED1" w:rsidRPr="00313B5C" w:rsidRDefault="00F17ED1" w:rsidP="00313B5C">
      <w:pPr>
        <w:pStyle w:val="Balk2"/>
        <w:jc w:val="both"/>
        <w:rPr>
          <w:rFonts w:ascii="Times New Roman" w:hAnsi="Times New Roman" w:cs="Times New Roman"/>
          <w:sz w:val="24"/>
          <w:szCs w:val="24"/>
        </w:rPr>
      </w:pPr>
      <w:r w:rsidRPr="00313B5C">
        <w:rPr>
          <w:rFonts w:ascii="Times New Roman" w:hAnsi="Times New Roman" w:cs="Times New Roman"/>
          <w:sz w:val="24"/>
          <w:szCs w:val="24"/>
        </w:rPr>
        <w:t xml:space="preserve">3.1. </w:t>
      </w:r>
      <w:bookmarkStart w:id="7" w:name="_Toc32685135"/>
      <w:bookmarkStart w:id="8" w:name="_Toc42430894"/>
      <w:r w:rsidRPr="00313B5C">
        <w:rPr>
          <w:rFonts w:ascii="Times New Roman" w:hAnsi="Times New Roman" w:cs="Times New Roman"/>
          <w:sz w:val="24"/>
          <w:szCs w:val="24"/>
        </w:rPr>
        <w:t>Genel Sağlık Durumu</w:t>
      </w:r>
      <w:bookmarkEnd w:id="7"/>
      <w:bookmarkEnd w:id="8"/>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noProof/>
          <w:sz w:val="24"/>
          <w:szCs w:val="24"/>
        </w:rPr>
        <w:t>Amerika’nın genel sağlık durumu incelendiğinde birçok farklı değişkenden etkilendiği görülmektedir. Buna bağlı olarak ABD sağlık harcamalarına diğer OECD ülkelerinden daha fazla pay ayırmaktadır. Yapılan harcamalara rağmen sigara, alkol, obezite ve hava kirliliği gibi bazı risk faktörleri mevcuttur. Sigara kullananların sayısı %10.5 ile OECD ortalamasının altında iken; alkol kullanım oranı OECD ülkeleriyle aynıdır. Obezite oranlarına bakıldığında çocukların %43’ünün, yetişkinlerin ise %71’inin obez olduğu görülmektedir. Buna bağlı olarak diyabet oranı %10.8 ile OECD ülkeleri arasında en yüksek üçüncü ülkedir (OECD Reports, 2019)</w:t>
      </w:r>
      <w:r w:rsidRPr="00313B5C">
        <w:rPr>
          <w:rFonts w:ascii="Times New Roman" w:hAnsi="Times New Roman" w:cs="Times New Roman"/>
          <w:sz w:val="24"/>
          <w:szCs w:val="24"/>
        </w:rPr>
        <w:t>.</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noProof/>
          <w:sz w:val="24"/>
          <w:szCs w:val="24"/>
        </w:rPr>
        <w:t>Hekim ve hemşire sayılarına bakıldığında 1.000 kişi başına düşen hekim sayısının 2.6 ile OECD ülkelerine oranla düşük; hemşire sayısının ise 11.7 ile OECD ülkelerine oranla yüksek olduğu görülebilir (OECD Reports, 2019).</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2018 yılı verilerine bakıldığında nüfusun %11.8’i (38 milyondan fazla) yoksulluk sınırının altındadır. Ülkenin güneyi %13.6 ile en yoksul kesimi oluştururken onu sırasıyla; Kuzey Doğu bölgesi %10.3, Orta Batı %10.4 ve Batı %11.2 ile takip etmektedir (Semega, Kollar, Creamer, &amp; Mohanty, 2019, s. 12-13).</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2018 yılı Dünya Bankası verilerine göre bebek ölüm oranı ‰5.6 olarak hesaplanmıştır. Doğumda yaşam beklentisi son yıllarda azalma eğilimdedir. OECD 2017 verilerine göre ABD için 78.6 yıl olarak belirlenen bu rakam OECD ortalamasının (80.7) altındadır (OECD, 2019, s. 69:81).</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Dünya Bankası verilerine göre Amerika’da son yıllarda artış gözlenen ölüm oranları 2017 yılında ‰8.5 (2.813.503 kişi) olarak hesaplanmıştır. Doğum oranları hesaplamalarında ise bu rakam ‰11.8 ile düşüş eğilimdedir. Kalp hastalıkları ve kanser sebebiyle ölümler Amerika’da önde gelen ölüm sebepleridir. AIDS sebebiyle meydana gelen ölümler son yıllarda azalma eğilimi göstermiş ve 2017 yılında 100.000 kişide 1.9 olarak hesaplanmıştır (The World Bank, 2019).</w:t>
      </w:r>
    </w:p>
    <w:p w:rsidR="00F17ED1" w:rsidRPr="00313B5C" w:rsidRDefault="00F17ED1" w:rsidP="00313B5C">
      <w:pPr>
        <w:pStyle w:val="Balk2"/>
        <w:jc w:val="both"/>
        <w:rPr>
          <w:rFonts w:ascii="Times New Roman" w:hAnsi="Times New Roman" w:cs="Times New Roman"/>
          <w:sz w:val="24"/>
          <w:szCs w:val="24"/>
        </w:rPr>
      </w:pPr>
      <w:bookmarkStart w:id="9" w:name="_Toc32685136"/>
      <w:bookmarkStart w:id="10" w:name="_Toc42430895"/>
      <w:r w:rsidRPr="00313B5C">
        <w:rPr>
          <w:rFonts w:ascii="Times New Roman" w:hAnsi="Times New Roman" w:cs="Times New Roman"/>
          <w:sz w:val="24"/>
          <w:szCs w:val="24"/>
        </w:rPr>
        <w:t>3.2. Sağlık Sisteminin Yapısı</w:t>
      </w:r>
      <w:bookmarkEnd w:id="9"/>
      <w:bookmarkEnd w:id="10"/>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Sağlık ve İnsan Hizmetleri Bölümü (HHS), </w:t>
      </w:r>
      <w:proofErr w:type="gramStart"/>
      <w:r w:rsidRPr="00313B5C">
        <w:rPr>
          <w:rFonts w:ascii="Times New Roman" w:hAnsi="Times New Roman" w:cs="Times New Roman"/>
          <w:sz w:val="24"/>
          <w:szCs w:val="24"/>
        </w:rPr>
        <w:t>misyon</w:t>
      </w:r>
      <w:proofErr w:type="gramEnd"/>
      <w:r w:rsidRPr="00313B5C">
        <w:rPr>
          <w:rFonts w:ascii="Times New Roman" w:hAnsi="Times New Roman" w:cs="Times New Roman"/>
          <w:sz w:val="24"/>
          <w:szCs w:val="24"/>
        </w:rPr>
        <w:t xml:space="preserve"> olarak tüm Amerikalıların sağlığını ve refahını korumayı ve artırmayı hedefler </w:t>
      </w:r>
      <w:r w:rsidRPr="00313B5C">
        <w:rPr>
          <w:rFonts w:ascii="Times New Roman" w:hAnsi="Times New Roman" w:cs="Times New Roman"/>
          <w:noProof/>
          <w:sz w:val="24"/>
          <w:szCs w:val="24"/>
        </w:rPr>
        <w:t>(U.S. Department of Health &amp; Human Services, 2020)</w:t>
      </w:r>
      <w:r w:rsidRPr="00313B5C">
        <w:rPr>
          <w:rFonts w:ascii="Times New Roman" w:hAnsi="Times New Roman" w:cs="Times New Roman"/>
          <w:sz w:val="24"/>
          <w:szCs w:val="24"/>
        </w:rPr>
        <w:t xml:space="preserve">. HHS harcamaları tüm harcamaların yaklaşık %25’i kadardır. 2019 yılı için bu harcamalar 1.230.614 dolar olarak hesaplanmıştır. Yapılan bu harcamaların %53’ü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%32’si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%8’i isteğe bağlı harcamalar, %3’ü diğer zorunlu programlar, %3’ü çocuk hakları </w:t>
      </w:r>
      <w:r w:rsidRPr="00313B5C">
        <w:rPr>
          <w:rFonts w:ascii="Times New Roman" w:hAnsi="Times New Roman" w:cs="Times New Roman"/>
          <w:sz w:val="24"/>
          <w:szCs w:val="24"/>
        </w:rPr>
        <w:lastRenderedPageBreak/>
        <w:t xml:space="preserve">programları ve %1’lik kısmı ise yoksul aileler için geçici yardımları kapsamaktadır </w:t>
      </w:r>
      <w:r w:rsidRPr="00313B5C">
        <w:rPr>
          <w:rFonts w:ascii="Times New Roman" w:hAnsi="Times New Roman" w:cs="Times New Roman"/>
          <w:noProof/>
          <w:sz w:val="24"/>
          <w:szCs w:val="24"/>
        </w:rPr>
        <w:t>(U.S. Department of Health &amp; Human Services, 2020)</w:t>
      </w:r>
      <w:r w:rsidRPr="00313B5C">
        <w:rPr>
          <w:rFonts w:ascii="Times New Roman" w:hAnsi="Times New Roman" w:cs="Times New Roman"/>
          <w:sz w:val="24"/>
          <w:szCs w:val="24"/>
        </w:rPr>
        <w:t>.</w:t>
      </w:r>
    </w:p>
    <w:p w:rsidR="00F17ED1" w:rsidRPr="00313B5C" w:rsidRDefault="00F17ED1" w:rsidP="00313B5C">
      <w:pPr>
        <w:jc w:val="both"/>
        <w:rPr>
          <w:rFonts w:ascii="Times New Roman" w:hAnsi="Times New Roman" w:cs="Times New Roman"/>
          <w:sz w:val="24"/>
          <w:szCs w:val="24"/>
        </w:rPr>
      </w:pP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yoksul yetişkinler, hamileler, çocuklar, engelli ve yaşlıları kapsayan sağlık sigorta programıdır.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ise engellileri ve yaşlıları sigorta kapsamına alan programdır. 2018 yılı verilerine göre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57.819.000 kişiye sigorta hizmeti sunarken;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57.720.000 kişiye sağlık sigortası sağlamaktadır. Yaklaşık 116 milyon kişi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ve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tarafından korunmaktadır </w:t>
      </w:r>
      <w:r w:rsidRPr="00313B5C">
        <w:rPr>
          <w:rFonts w:ascii="Times New Roman" w:hAnsi="Times New Roman" w:cs="Times New Roman"/>
          <w:noProof/>
          <w:sz w:val="24"/>
          <w:szCs w:val="24"/>
        </w:rPr>
        <w:t>(United States Census Bureau, 2020)</w:t>
      </w:r>
      <w:r w:rsidRPr="00313B5C">
        <w:rPr>
          <w:rFonts w:ascii="Times New Roman" w:hAnsi="Times New Roman" w:cs="Times New Roman"/>
          <w:sz w:val="24"/>
          <w:szCs w:val="24"/>
        </w:rPr>
        <w:t>.</w:t>
      </w:r>
    </w:p>
    <w:p w:rsidR="00F17ED1" w:rsidRPr="00313B5C" w:rsidRDefault="00F17ED1" w:rsidP="00313B5C">
      <w:pPr>
        <w:ind w:firstLine="708"/>
        <w:jc w:val="both"/>
        <w:rPr>
          <w:rFonts w:ascii="Times New Roman" w:hAnsi="Times New Roman" w:cs="Times New Roman"/>
          <w:sz w:val="24"/>
          <w:szCs w:val="24"/>
        </w:rPr>
      </w:pPr>
      <w:bookmarkStart w:id="11" w:name="_Toc33364122"/>
      <w:r w:rsidRPr="00313B5C">
        <w:rPr>
          <w:rFonts w:ascii="Times New Roman" w:hAnsi="Times New Roman" w:cs="Times New Roman"/>
          <w:b/>
          <w:sz w:val="24"/>
          <w:szCs w:val="24"/>
        </w:rPr>
        <w:t>Şekil 2:</w:t>
      </w:r>
      <w:r w:rsidRPr="00313B5C">
        <w:rPr>
          <w:rFonts w:ascii="Times New Roman" w:hAnsi="Times New Roman" w:cs="Times New Roman"/>
          <w:sz w:val="24"/>
          <w:szCs w:val="24"/>
        </w:rPr>
        <w:t xml:space="preserve"> ABD Sağlık ve İnsan Hizmetleri Bakanlığı</w:t>
      </w:r>
      <w:bookmarkEnd w:id="11"/>
    </w:p>
    <w:p w:rsidR="00F17ED1" w:rsidRPr="00313B5C" w:rsidRDefault="00F17ED1" w:rsidP="00313B5C">
      <w:pPr>
        <w:ind w:left="708"/>
        <w:jc w:val="both"/>
        <w:rPr>
          <w:rFonts w:ascii="Times New Roman" w:hAnsi="Times New Roman" w:cs="Times New Roman"/>
          <w:b/>
          <w:noProof/>
          <w:sz w:val="24"/>
          <w:szCs w:val="24"/>
          <w:lang w:eastAsia="tr-TR"/>
        </w:rPr>
      </w:pPr>
      <w:r w:rsidRPr="00313B5C">
        <w:rPr>
          <w:rFonts w:ascii="Times New Roman" w:hAnsi="Times New Roman" w:cs="Times New Roman"/>
          <w:noProof/>
          <w:sz w:val="24"/>
          <w:szCs w:val="24"/>
          <w:lang w:eastAsia="tr-TR"/>
        </w:rPr>
        <w:drawing>
          <wp:inline distT="0" distB="0" distL="0" distR="0" wp14:anchorId="0D124708" wp14:editId="113BA8FE">
            <wp:extent cx="4944607" cy="4707172"/>
            <wp:effectExtent l="0" t="0" r="8890" b="0"/>
            <wp:docPr id="20" name="Resim 20" descr="C:\Users\CASPER\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SPER\AppData\Local\Microsoft\Windows\INetCache\Content.Word\Ekran Alıntısı.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5184824" cy="4935854"/>
                    </a:xfrm>
                    <a:prstGeom prst="rect">
                      <a:avLst/>
                    </a:prstGeom>
                    <a:noFill/>
                    <a:ln>
                      <a:noFill/>
                    </a:ln>
                  </pic:spPr>
                </pic:pic>
              </a:graphicData>
            </a:graphic>
          </wp:inline>
        </w:drawing>
      </w:r>
      <w:r w:rsidRPr="00313B5C">
        <w:rPr>
          <w:rFonts w:ascii="Times New Roman" w:hAnsi="Times New Roman" w:cs="Times New Roman"/>
          <w:b/>
          <w:noProof/>
          <w:sz w:val="24"/>
          <w:szCs w:val="24"/>
          <w:lang w:eastAsia="tr-TR"/>
        </w:rPr>
        <w:t xml:space="preserve">  </w:t>
      </w:r>
    </w:p>
    <w:p w:rsidR="00F17ED1" w:rsidRPr="00313B5C" w:rsidRDefault="00F17ED1" w:rsidP="00313B5C">
      <w:pPr>
        <w:ind w:left="708"/>
        <w:jc w:val="both"/>
        <w:rPr>
          <w:rFonts w:ascii="Times New Roman" w:hAnsi="Times New Roman" w:cs="Times New Roman"/>
          <w:sz w:val="24"/>
          <w:szCs w:val="24"/>
        </w:rPr>
      </w:pPr>
      <w:r w:rsidRPr="00313B5C">
        <w:rPr>
          <w:rFonts w:ascii="Times New Roman" w:hAnsi="Times New Roman" w:cs="Times New Roman"/>
          <w:b/>
          <w:noProof/>
          <w:sz w:val="24"/>
          <w:szCs w:val="24"/>
          <w:lang w:eastAsia="tr-TR"/>
        </w:rPr>
        <w:t>Kaynak:</w:t>
      </w:r>
      <w:r w:rsidRPr="00313B5C">
        <w:rPr>
          <w:rFonts w:ascii="Times New Roman" w:hAnsi="Times New Roman" w:cs="Times New Roman"/>
          <w:noProof/>
          <w:sz w:val="24"/>
          <w:szCs w:val="24"/>
          <w:lang w:eastAsia="tr-TR"/>
        </w:rPr>
        <w:t xml:space="preserve"> U.S. Department of Health &amp; Human Services, 2020.</w:t>
      </w:r>
    </w:p>
    <w:p w:rsidR="00F17ED1" w:rsidRPr="00313B5C" w:rsidRDefault="00F17ED1" w:rsidP="00313B5C">
      <w:pPr>
        <w:jc w:val="both"/>
        <w:rPr>
          <w:rFonts w:ascii="Times New Roman" w:hAnsi="Times New Roman" w:cs="Times New Roman"/>
          <w:noProof/>
          <w:sz w:val="24"/>
          <w:szCs w:val="24"/>
        </w:rPr>
      </w:pPr>
      <w:proofErr w:type="gramStart"/>
      <w:r w:rsidRPr="00313B5C">
        <w:rPr>
          <w:rFonts w:ascii="Times New Roman" w:hAnsi="Times New Roman" w:cs="Times New Roman"/>
          <w:sz w:val="24"/>
          <w:szCs w:val="24"/>
        </w:rPr>
        <w:t xml:space="preserve">ABD Sağlık ve İnsan Hizmetleri Bakanlığı’na bağlı ana hizmet birimleri; Hastalık Kontrol ve Önleme Merkezleri, Çocuk ve Aile Yönetimi, Madde Bağımlılığı ve Akıl Sağlığı, Ulusal Sağlık Enstitüsü, Sağlık Kaynakları ve Hizmetleri İdaresi,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ve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Hizmet Servisleri, Sağlık Hizmeti Araştırma ve Kalite Kurulu, Gıda ve İlaç Yönetimi,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ve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Geliştirme Merkezi, Hasta Merkezli Sonuçlar Araştırma Enstitüsü gibi alanları kapsamaktadır </w:t>
      </w:r>
      <w:r w:rsidRPr="00313B5C">
        <w:rPr>
          <w:rFonts w:ascii="Times New Roman" w:hAnsi="Times New Roman" w:cs="Times New Roman"/>
          <w:noProof/>
          <w:sz w:val="24"/>
          <w:szCs w:val="24"/>
        </w:rPr>
        <w:t>(U.S. Department of Health &amp; Human Services, 2020).</w:t>
      </w:r>
      <w:proofErr w:type="gramEnd"/>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Çocuk ve Aile Yönetimi (ACF); birçok eğitim ve destekleyici program aracılığıyla ailelerin ve çocukların ekonomik ve sosyal refahını sağlar. Sağlık Araştırmaları ve Kalite Kurulu (AHRQ); sağlık hizmetlerinin daha kaliteli, daha güvenli ve daha erişilebilir hale getirilmesi için </w:t>
      </w:r>
      <w:r w:rsidRPr="00313B5C">
        <w:rPr>
          <w:rFonts w:ascii="Times New Roman" w:hAnsi="Times New Roman" w:cs="Times New Roman"/>
          <w:noProof/>
          <w:sz w:val="24"/>
          <w:szCs w:val="24"/>
        </w:rPr>
        <w:lastRenderedPageBreak/>
        <w:t>araştırmaları yürütür. Bu araştırmalar sonucunda elde edilen verileri diğer kuruluşların kullanımına sunar (U.S. Department of Health &amp; Human Services, 2020).</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Hastalık Kontrol ve Önleme Merkezleri (CDC); halk sağlığı hizmetlerinin bir parçasıdır. Amerika’da faaliyet yürüten bu merkez hastalıkların önlenmesi ve güvenlik tedbirlerinin alınması yoluyla halk sağlığını koruma görevini üstlenir. Gıda ve İlaç İdaresi (FDA); gıdaların güvenli, saf ve sağlıklı sunulması faaliyetlerinden sorumludur. İlaçların ve tıbbi cihazların güvenliğini sağlayarak halk sağlığını korumakla yükümlüdür (U.S. Department of Health &amp; Human Services, 2020). </w:t>
      </w:r>
    </w:p>
    <w:p w:rsidR="00F17ED1" w:rsidRPr="00313B5C" w:rsidRDefault="00F17ED1" w:rsidP="00313B5C">
      <w:pPr>
        <w:pStyle w:val="Balk2"/>
        <w:jc w:val="both"/>
        <w:rPr>
          <w:rFonts w:ascii="Times New Roman" w:hAnsi="Times New Roman" w:cs="Times New Roman"/>
          <w:sz w:val="24"/>
          <w:szCs w:val="24"/>
        </w:rPr>
      </w:pPr>
      <w:bookmarkStart w:id="12" w:name="_Toc32685137"/>
      <w:bookmarkStart w:id="13" w:name="_Toc42430896"/>
      <w:r w:rsidRPr="00313B5C">
        <w:rPr>
          <w:rFonts w:ascii="Times New Roman" w:hAnsi="Times New Roman" w:cs="Times New Roman"/>
          <w:sz w:val="24"/>
          <w:szCs w:val="24"/>
        </w:rPr>
        <w:t>3.3. Sağlık Hizmetlerinin Sunumu</w:t>
      </w:r>
      <w:bookmarkEnd w:id="12"/>
      <w:bookmarkEnd w:id="13"/>
    </w:p>
    <w:p w:rsidR="00F17ED1" w:rsidRPr="00313B5C" w:rsidRDefault="00F17ED1" w:rsidP="00313B5C">
      <w:pPr>
        <w:pStyle w:val="Balk3"/>
        <w:numPr>
          <w:ilvl w:val="2"/>
          <w:numId w:val="14"/>
        </w:numPr>
        <w:spacing w:line="360" w:lineRule="auto"/>
        <w:jc w:val="both"/>
        <w:rPr>
          <w:rFonts w:ascii="Times New Roman" w:hAnsi="Times New Roman" w:cs="Times New Roman"/>
        </w:rPr>
      </w:pPr>
      <w:bookmarkStart w:id="14" w:name="_Toc32685138"/>
      <w:bookmarkStart w:id="15" w:name="_Toc42430897"/>
      <w:r w:rsidRPr="00313B5C">
        <w:rPr>
          <w:rFonts w:ascii="Times New Roman" w:hAnsi="Times New Roman" w:cs="Times New Roman"/>
        </w:rPr>
        <w:t>Birincil Sağlık Hizmetleri</w:t>
      </w:r>
      <w:bookmarkEnd w:id="14"/>
      <w:bookmarkEnd w:id="15"/>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z w:val="24"/>
          <w:szCs w:val="24"/>
        </w:rPr>
        <w:t xml:space="preserve">ABD sağlık sistemi sevk zincirinin uygulanmadığı karmaşık bir yapıya sahiptir. Birincil sağlık hizmetleri Halk Sağlığı adı altında verilmektedir. Bu hizmetler ruh sağlığı ve fiziksel sağlığı birlikte ele alır. ABD’de birinci basamak sağlık hizmetleri aile hekimleri, çocuk hekimleri, genel pratisyenler ve kadın hastalıkları hekimleri tarafından verilmektedir. Gezici sağlık hizmetleri hekim olmayan sağlık personeli tarafından verilmektedir. Bu hizmetler kapsamında ayaktan bakım hizmetleri, laboratuvar hizmetleri ve gezici cerrahi hizmetler sunulmaktadır. Hekimlerin çoğu kendi özel muayenehanesine sahiptir. Bu hekimler sağlık sisteminde merkezi bir rol oynamaktadır </w:t>
      </w:r>
      <w:r w:rsidRPr="00313B5C">
        <w:rPr>
          <w:rFonts w:ascii="Times New Roman" w:hAnsi="Times New Roman" w:cs="Times New Roman"/>
          <w:noProof/>
          <w:sz w:val="24"/>
          <w:szCs w:val="24"/>
        </w:rPr>
        <w:t>(Sargutan, 2006).</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Halk sağlığı hizmetleri; sağlık statüsünü yükseltmek, hastalıkları önleyici çalışmalarda bulunmak, sağlık hizmetlerine erişimi kolaylaştırmak, sağlık personeli yetiştirmek ve halkı bilinçlendirmek için oluşturulmuş, toplumun tümünü ilgilendiren hizmetlerdir (Sargutan, 2006). </w:t>
      </w:r>
    </w:p>
    <w:p w:rsidR="00F17ED1" w:rsidRPr="00313B5C" w:rsidRDefault="00F17ED1" w:rsidP="00313B5C">
      <w:pPr>
        <w:pStyle w:val="Balk3"/>
        <w:numPr>
          <w:ilvl w:val="2"/>
          <w:numId w:val="14"/>
        </w:numPr>
        <w:spacing w:line="360" w:lineRule="auto"/>
        <w:jc w:val="both"/>
        <w:rPr>
          <w:rFonts w:ascii="Times New Roman" w:hAnsi="Times New Roman" w:cs="Times New Roman"/>
        </w:rPr>
      </w:pPr>
      <w:bookmarkStart w:id="16" w:name="_Toc32685139"/>
      <w:bookmarkStart w:id="17" w:name="_Toc42430898"/>
      <w:r w:rsidRPr="00313B5C">
        <w:rPr>
          <w:rFonts w:ascii="Times New Roman" w:hAnsi="Times New Roman" w:cs="Times New Roman"/>
        </w:rPr>
        <w:t>İkincil Sağlık Hizmetleri</w:t>
      </w:r>
      <w:bookmarkEnd w:id="16"/>
      <w:bookmarkEnd w:id="17"/>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İkincil sağlık hizmetleri sürekli bakım ve kronik bakım için tedavi hizmetlerini sunmaktadır. Gezici sağlık hizmetleri birinci basamak sağlık hizmetlerinde genellikle basit vakalara, hekim olmayan sağlık personeli tarafından hizmet verilirken, ikincil sağlık hizmetlerinde daha ciddi vakalar için bu hizmetler, uzman hekim tarafından sunulmaktadır.</w:t>
      </w:r>
    </w:p>
    <w:p w:rsidR="00F17ED1" w:rsidRPr="00313B5C" w:rsidRDefault="00F17ED1" w:rsidP="00313B5C">
      <w:pPr>
        <w:pStyle w:val="Balk3"/>
        <w:numPr>
          <w:ilvl w:val="2"/>
          <w:numId w:val="14"/>
        </w:numPr>
        <w:spacing w:line="360" w:lineRule="auto"/>
        <w:jc w:val="both"/>
        <w:rPr>
          <w:rFonts w:ascii="Times New Roman" w:eastAsiaTheme="minorHAnsi" w:hAnsi="Times New Roman" w:cs="Times New Roman"/>
          <w:noProof/>
        </w:rPr>
      </w:pPr>
      <w:bookmarkStart w:id="18" w:name="_Toc32685140"/>
      <w:bookmarkStart w:id="19" w:name="_Toc42430899"/>
      <w:r w:rsidRPr="00313B5C">
        <w:rPr>
          <w:rFonts w:ascii="Times New Roman" w:eastAsiaTheme="minorHAnsi" w:hAnsi="Times New Roman" w:cs="Times New Roman"/>
          <w:noProof/>
        </w:rPr>
        <w:t>Üçüncül Sağlık Hizmetleri</w:t>
      </w:r>
      <w:bookmarkEnd w:id="18"/>
      <w:bookmarkEnd w:id="19"/>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Üçüncül sağlık hizmetleri yüksek teknoloji ve uzmanlaşmaya dayalı, kompleks bir yapıya sahiptir. Çocuk hastaneleri, psikiyatri hastaneleri, rehabilitasyon hastaneleri, üniversite hastaneleri gibi yatan hastalar için tedavi hizmeti sunan sağlık kurumlarıdır. Bunun yanı sıra AIDS tedavi merkezleri, radyasyon terapi merkezleri gibi belli bir alana yönelik uzmanlaşma gerektiren özel dal hastaneleri de üçüncül sağlık hizmetlerini sunmaktadır.2017 yılında 1000 kişiye düşen hastane yatağı 2,8’dir. OECD ortalaması 4,7’dir (OECD, 2019). </w:t>
      </w:r>
    </w:p>
    <w:p w:rsidR="00F17ED1" w:rsidRPr="00313B5C" w:rsidRDefault="00F17ED1" w:rsidP="00313B5C">
      <w:pPr>
        <w:pStyle w:val="Balk2"/>
        <w:numPr>
          <w:ilvl w:val="1"/>
          <w:numId w:val="14"/>
        </w:numPr>
        <w:spacing w:before="0" w:line="360" w:lineRule="auto"/>
        <w:jc w:val="both"/>
        <w:rPr>
          <w:rFonts w:ascii="Times New Roman" w:hAnsi="Times New Roman" w:cs="Times New Roman"/>
          <w:sz w:val="24"/>
          <w:szCs w:val="24"/>
        </w:rPr>
      </w:pPr>
      <w:bookmarkStart w:id="20" w:name="_Toc32685141"/>
      <w:bookmarkStart w:id="21" w:name="_Toc42430900"/>
      <w:r w:rsidRPr="00313B5C">
        <w:rPr>
          <w:rFonts w:ascii="Times New Roman" w:hAnsi="Times New Roman" w:cs="Times New Roman"/>
          <w:sz w:val="24"/>
          <w:szCs w:val="24"/>
        </w:rPr>
        <w:t>Sağlık Sisteminin Finansmanı</w:t>
      </w:r>
      <w:bookmarkEnd w:id="20"/>
      <w:bookmarkEnd w:id="21"/>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Sağlık hizmeti kuruluşlarının finansmanı, masrafları karşılayan özel-kamu sistemleri aracılığıyla olmaktadır </w:t>
      </w:r>
      <w:r w:rsidRPr="00313B5C">
        <w:rPr>
          <w:rFonts w:ascii="Times New Roman" w:hAnsi="Times New Roman" w:cs="Times New Roman"/>
          <w:noProof/>
          <w:sz w:val="24"/>
          <w:szCs w:val="24"/>
        </w:rPr>
        <w:t xml:space="preserve">(Sargutan, 2006). </w:t>
      </w:r>
      <w:r w:rsidRPr="00313B5C">
        <w:rPr>
          <w:rFonts w:ascii="Times New Roman" w:hAnsi="Times New Roman" w:cs="Times New Roman"/>
          <w:sz w:val="24"/>
          <w:szCs w:val="24"/>
        </w:rPr>
        <w:t xml:space="preserve">Toplam kaynak payı olarak kamu kaynaklarından yapılan sağlık harcamaları 2017 yılı verilerine göre ABD’de %50 olarak hesaplanırken; OECD ortalaması %71 olarak bulunmuştur </w:t>
      </w:r>
      <w:r w:rsidRPr="00313B5C">
        <w:rPr>
          <w:rFonts w:ascii="Times New Roman" w:hAnsi="Times New Roman" w:cs="Times New Roman"/>
          <w:noProof/>
          <w:sz w:val="24"/>
          <w:szCs w:val="24"/>
        </w:rPr>
        <w:t xml:space="preserve">(OECD, 2019, s. 159). </w:t>
      </w:r>
      <w:r w:rsidRPr="00313B5C">
        <w:rPr>
          <w:rFonts w:ascii="Times New Roman" w:hAnsi="Times New Roman" w:cs="Times New Roman"/>
          <w:sz w:val="24"/>
          <w:szCs w:val="24"/>
        </w:rPr>
        <w:t xml:space="preserve">Dünya Bankası 1960-2018 verileri incelendiğinde ABD’nin sağlık harcamalarında sürekli bir artış gözlenmektedir </w:t>
      </w:r>
      <w:r w:rsidRPr="00313B5C">
        <w:rPr>
          <w:rFonts w:ascii="Times New Roman" w:hAnsi="Times New Roman" w:cs="Times New Roman"/>
          <w:noProof/>
          <w:sz w:val="24"/>
          <w:szCs w:val="24"/>
        </w:rPr>
        <w:t>(The World Bank, 2019)</w:t>
      </w:r>
      <w:r w:rsidRPr="00313B5C">
        <w:rPr>
          <w:rFonts w:ascii="Times New Roman" w:hAnsi="Times New Roman" w:cs="Times New Roman"/>
          <w:sz w:val="24"/>
          <w:szCs w:val="24"/>
        </w:rPr>
        <w:t xml:space="preserve">. Şekil 4’e göre sağlık harcamalarındaki en büyük pay hastane harcamalarına aittir. </w:t>
      </w:r>
      <w:r w:rsidRPr="00313B5C">
        <w:rPr>
          <w:rFonts w:ascii="Times New Roman" w:hAnsi="Times New Roman" w:cs="Times New Roman"/>
          <w:sz w:val="24"/>
          <w:szCs w:val="24"/>
        </w:rPr>
        <w:lastRenderedPageBreak/>
        <w:t xml:space="preserve">OECD için hastane harcamaları %38’lik bir dilimi oluştururken ABD %34 ile OECD ortalamasının altındadır. </w:t>
      </w:r>
      <w:bookmarkStart w:id="22" w:name="_Toc33364123"/>
    </w:p>
    <w:p w:rsidR="00F17ED1" w:rsidRPr="00313B5C" w:rsidRDefault="00F17ED1" w:rsidP="00313B5C">
      <w:pPr>
        <w:ind w:firstLine="708"/>
        <w:jc w:val="both"/>
        <w:rPr>
          <w:rFonts w:ascii="Times New Roman" w:hAnsi="Times New Roman" w:cs="Times New Roman"/>
          <w:sz w:val="24"/>
          <w:szCs w:val="24"/>
        </w:rPr>
      </w:pPr>
      <w:r w:rsidRPr="00313B5C">
        <w:rPr>
          <w:rFonts w:ascii="Times New Roman" w:hAnsi="Times New Roman" w:cs="Times New Roman"/>
          <w:b/>
          <w:sz w:val="24"/>
          <w:szCs w:val="24"/>
        </w:rPr>
        <w:t xml:space="preserve">Şekil 3: </w:t>
      </w:r>
      <w:r w:rsidRPr="00313B5C">
        <w:rPr>
          <w:rFonts w:ascii="Times New Roman" w:hAnsi="Times New Roman" w:cs="Times New Roman"/>
          <w:sz w:val="24"/>
          <w:szCs w:val="24"/>
        </w:rPr>
        <w:t>Sağlayıcı Tarafından Yapılan Sağlık Harcamalarının ABD ve OECD Yüzdeleri</w:t>
      </w:r>
      <w:bookmarkEnd w:id="22"/>
    </w:p>
    <w:p w:rsidR="00F17ED1" w:rsidRPr="00313B5C" w:rsidRDefault="00F17ED1" w:rsidP="00313B5C">
      <w:pPr>
        <w:ind w:firstLine="708"/>
        <w:jc w:val="both"/>
        <w:rPr>
          <w:rFonts w:ascii="Times New Roman" w:hAnsi="Times New Roman" w:cs="Times New Roman"/>
          <w:b/>
          <w:sz w:val="24"/>
          <w:szCs w:val="24"/>
        </w:rPr>
      </w:pPr>
      <w:r w:rsidRPr="00313B5C">
        <w:rPr>
          <w:rFonts w:ascii="Times New Roman" w:hAnsi="Times New Roman" w:cs="Times New Roman"/>
          <w:noProof/>
          <w:sz w:val="24"/>
          <w:szCs w:val="24"/>
          <w:lang w:eastAsia="tr-TR"/>
        </w:rPr>
        <w:drawing>
          <wp:inline distT="0" distB="0" distL="0" distR="0" wp14:anchorId="38CEDCC2" wp14:editId="72F7D910">
            <wp:extent cx="4696358" cy="1960245"/>
            <wp:effectExtent l="0" t="0" r="9525"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0093" cy="1965978"/>
                    </a:xfrm>
                    <a:prstGeom prst="rect">
                      <a:avLst/>
                    </a:prstGeom>
                    <a:noFill/>
                    <a:ln>
                      <a:noFill/>
                    </a:ln>
                  </pic:spPr>
                </pic:pic>
              </a:graphicData>
            </a:graphic>
          </wp:inline>
        </w:drawing>
      </w:r>
    </w:p>
    <w:p w:rsidR="00F17ED1" w:rsidRPr="00313B5C" w:rsidRDefault="00F17ED1" w:rsidP="00313B5C">
      <w:pPr>
        <w:ind w:firstLine="708"/>
        <w:jc w:val="both"/>
        <w:rPr>
          <w:rFonts w:ascii="Times New Roman" w:hAnsi="Times New Roman" w:cs="Times New Roman"/>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OECD, 2019, s. 163</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ABD’de özel sağlık sigortası şirketleri tarafından yapılan tüm harcamalar zorunlu sağlık sigortası kapsamında ele alınır. Şekil 5 incelendiğinde Amerika’da finansman türüne göre sağlık harcamalarında en büyük pay %58 ile zorunlu sağlık sigortaları iken; OECD ülkelerinde zorunlu sağlık sigortası ile hükümet programları arasında belirgin bir fark olmadığı görülmektedir.</w:t>
      </w:r>
    </w:p>
    <w:p w:rsidR="00F17ED1" w:rsidRPr="00313B5C" w:rsidRDefault="00F17ED1" w:rsidP="00313B5C">
      <w:pPr>
        <w:jc w:val="both"/>
        <w:rPr>
          <w:rFonts w:ascii="Times New Roman" w:hAnsi="Times New Roman" w:cs="Times New Roman"/>
          <w:sz w:val="24"/>
          <w:szCs w:val="24"/>
        </w:rPr>
      </w:pPr>
    </w:p>
    <w:p w:rsidR="00F17ED1" w:rsidRPr="00313B5C" w:rsidRDefault="00F17ED1" w:rsidP="00313B5C">
      <w:pPr>
        <w:ind w:firstLine="708"/>
        <w:jc w:val="both"/>
        <w:rPr>
          <w:rFonts w:ascii="Times New Roman" w:hAnsi="Times New Roman" w:cs="Times New Roman"/>
          <w:sz w:val="24"/>
          <w:szCs w:val="24"/>
        </w:rPr>
      </w:pPr>
      <w:bookmarkStart w:id="23" w:name="_Toc33364124"/>
      <w:r w:rsidRPr="00313B5C">
        <w:rPr>
          <w:rFonts w:ascii="Times New Roman" w:hAnsi="Times New Roman" w:cs="Times New Roman"/>
          <w:b/>
          <w:sz w:val="24"/>
          <w:szCs w:val="24"/>
        </w:rPr>
        <w:t>Şekil 4:</w:t>
      </w:r>
      <w:r w:rsidRPr="00313B5C">
        <w:rPr>
          <w:rFonts w:ascii="Times New Roman" w:hAnsi="Times New Roman" w:cs="Times New Roman"/>
          <w:sz w:val="24"/>
          <w:szCs w:val="24"/>
        </w:rPr>
        <w:t xml:space="preserve"> Finansman Türüne Göre Sağlık Harcamaları</w:t>
      </w:r>
      <w:bookmarkEnd w:id="23"/>
    </w:p>
    <w:p w:rsidR="00F17ED1" w:rsidRPr="00313B5C" w:rsidRDefault="00F17ED1" w:rsidP="00313B5C">
      <w:pPr>
        <w:ind w:firstLine="708"/>
        <w:jc w:val="both"/>
        <w:rPr>
          <w:rFonts w:ascii="Times New Roman" w:hAnsi="Times New Roman" w:cs="Times New Roman"/>
          <w:sz w:val="24"/>
          <w:szCs w:val="24"/>
        </w:rPr>
      </w:pPr>
      <w:r w:rsidRPr="00313B5C">
        <w:rPr>
          <w:rFonts w:ascii="Times New Roman" w:hAnsi="Times New Roman" w:cs="Times New Roman"/>
          <w:noProof/>
          <w:sz w:val="24"/>
          <w:szCs w:val="24"/>
          <w:lang w:eastAsia="tr-TR"/>
        </w:rPr>
        <w:drawing>
          <wp:inline distT="0" distB="0" distL="0" distR="0" wp14:anchorId="294F2BCE" wp14:editId="5D505460">
            <wp:extent cx="5074920" cy="1478280"/>
            <wp:effectExtent l="0" t="0" r="11430" b="762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7ED1" w:rsidRPr="00313B5C" w:rsidRDefault="00F17ED1" w:rsidP="00313B5C">
      <w:pPr>
        <w:ind w:firstLine="708"/>
        <w:jc w:val="both"/>
        <w:rPr>
          <w:rFonts w:ascii="Times New Roman" w:hAnsi="Times New Roman" w:cs="Times New Roman"/>
          <w:noProof/>
          <w:sz w:val="24"/>
          <w:szCs w:val="24"/>
        </w:rPr>
      </w:pPr>
      <w:r w:rsidRPr="00313B5C">
        <w:rPr>
          <w:rFonts w:ascii="Times New Roman" w:hAnsi="Times New Roman" w:cs="Times New Roman"/>
          <w:b/>
          <w:sz w:val="24"/>
          <w:szCs w:val="24"/>
        </w:rPr>
        <w:t>Kaynak:</w:t>
      </w:r>
      <w:r w:rsidRPr="00313B5C">
        <w:rPr>
          <w:rFonts w:ascii="Times New Roman" w:hAnsi="Times New Roman" w:cs="Times New Roman"/>
          <w:sz w:val="24"/>
          <w:szCs w:val="24"/>
        </w:rPr>
        <w:t xml:space="preserve"> </w:t>
      </w:r>
      <w:r w:rsidRPr="00313B5C">
        <w:rPr>
          <w:rFonts w:ascii="Times New Roman" w:hAnsi="Times New Roman" w:cs="Times New Roman"/>
          <w:noProof/>
          <w:sz w:val="24"/>
          <w:szCs w:val="24"/>
        </w:rPr>
        <w:t>OECD, 2019, s. 157</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Amerika’da zorunlu sağlık sigortasını finanse eden en büyük kaynak zorunlu ödemelerdir (Şekil 6).  </w:t>
      </w:r>
    </w:p>
    <w:p w:rsidR="00F17ED1" w:rsidRPr="00313B5C" w:rsidRDefault="00F17ED1" w:rsidP="00313B5C">
      <w:pPr>
        <w:ind w:firstLine="708"/>
        <w:jc w:val="both"/>
        <w:rPr>
          <w:rFonts w:ascii="Times New Roman" w:hAnsi="Times New Roman" w:cs="Times New Roman"/>
          <w:sz w:val="24"/>
          <w:szCs w:val="24"/>
        </w:rPr>
      </w:pPr>
      <w:bookmarkStart w:id="24" w:name="_Toc33364125"/>
      <w:r w:rsidRPr="00313B5C">
        <w:rPr>
          <w:rFonts w:ascii="Times New Roman" w:hAnsi="Times New Roman" w:cs="Times New Roman"/>
          <w:b/>
          <w:sz w:val="24"/>
          <w:szCs w:val="24"/>
        </w:rPr>
        <w:t>Şekil 5:</w:t>
      </w:r>
      <w:r w:rsidRPr="00313B5C">
        <w:rPr>
          <w:rFonts w:ascii="Times New Roman" w:hAnsi="Times New Roman" w:cs="Times New Roman"/>
          <w:sz w:val="24"/>
          <w:szCs w:val="24"/>
        </w:rPr>
        <w:t xml:space="preserve"> ABD'de Zorunlu Sağlık Sigortası Finansman Kaynakları (2017)</w:t>
      </w:r>
      <w:bookmarkEnd w:id="24"/>
    </w:p>
    <w:p w:rsidR="00F17ED1" w:rsidRPr="00313B5C" w:rsidRDefault="00F17ED1" w:rsidP="00313B5C">
      <w:pPr>
        <w:spacing w:after="0"/>
        <w:ind w:left="709"/>
        <w:jc w:val="both"/>
        <w:rPr>
          <w:rFonts w:ascii="Times New Roman" w:hAnsi="Times New Roman" w:cs="Times New Roman"/>
          <w:sz w:val="24"/>
          <w:szCs w:val="24"/>
        </w:rPr>
      </w:pPr>
      <w:r w:rsidRPr="00313B5C">
        <w:rPr>
          <w:rFonts w:ascii="Times New Roman" w:hAnsi="Times New Roman" w:cs="Times New Roman"/>
          <w:noProof/>
          <w:sz w:val="24"/>
          <w:szCs w:val="24"/>
          <w:lang w:eastAsia="tr-TR"/>
        </w:rPr>
        <w:drawing>
          <wp:inline distT="0" distB="0" distL="0" distR="0" wp14:anchorId="6DC1DF35" wp14:editId="419CE984">
            <wp:extent cx="5074920" cy="990600"/>
            <wp:effectExtent l="0" t="0" r="1143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7ED1" w:rsidRPr="00313B5C" w:rsidRDefault="00F17ED1" w:rsidP="00313B5C">
      <w:pPr>
        <w:spacing w:after="0"/>
        <w:ind w:left="708"/>
        <w:jc w:val="both"/>
        <w:rPr>
          <w:rFonts w:ascii="Times New Roman" w:hAnsi="Times New Roman" w:cs="Times New Roman"/>
          <w:noProof/>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OECD, 2019, s. 15</w:t>
      </w:r>
    </w:p>
    <w:p w:rsidR="00F17ED1" w:rsidRPr="00313B5C" w:rsidRDefault="00F17ED1" w:rsidP="00313B5C">
      <w:pPr>
        <w:spacing w:before="240" w:after="0"/>
        <w:ind w:firstLine="708"/>
        <w:jc w:val="both"/>
        <w:rPr>
          <w:rFonts w:ascii="Times New Roman" w:hAnsi="Times New Roman" w:cs="Times New Roman"/>
          <w:b/>
          <w:sz w:val="24"/>
          <w:szCs w:val="24"/>
        </w:rPr>
      </w:pPr>
      <w:bookmarkStart w:id="25" w:name="_Toc33364126"/>
      <w:r w:rsidRPr="00313B5C">
        <w:rPr>
          <w:rFonts w:ascii="Times New Roman" w:hAnsi="Times New Roman" w:cs="Times New Roman"/>
          <w:b/>
          <w:sz w:val="24"/>
          <w:szCs w:val="24"/>
        </w:rPr>
        <w:lastRenderedPageBreak/>
        <w:t>Şekil 6:</w:t>
      </w:r>
      <w:r w:rsidRPr="00313B5C">
        <w:rPr>
          <w:rFonts w:ascii="Times New Roman" w:hAnsi="Times New Roman" w:cs="Times New Roman"/>
          <w:sz w:val="24"/>
          <w:szCs w:val="24"/>
        </w:rPr>
        <w:t xml:space="preserve"> ABD Sağlık Sistemi</w:t>
      </w:r>
      <w:bookmarkEnd w:id="25"/>
    </w:p>
    <w:p w:rsidR="00F17ED1" w:rsidRPr="00313B5C" w:rsidRDefault="00F17ED1" w:rsidP="00313B5C">
      <w:pPr>
        <w:tabs>
          <w:tab w:val="left" w:pos="1302"/>
        </w:tabs>
        <w:ind w:left="284"/>
        <w:jc w:val="both"/>
        <w:rPr>
          <w:rFonts w:ascii="Times New Roman" w:hAnsi="Times New Roman" w:cs="Times New Roman"/>
          <w:sz w:val="24"/>
          <w:szCs w:val="24"/>
        </w:rPr>
      </w:pPr>
      <w:r w:rsidRPr="00313B5C">
        <w:rPr>
          <w:rFonts w:ascii="Times New Roman" w:hAnsi="Times New Roman" w:cs="Times New Roman"/>
          <w:noProof/>
          <w:sz w:val="24"/>
          <w:szCs w:val="24"/>
          <w:lang w:eastAsia="tr-TR"/>
        </w:rPr>
        <w:drawing>
          <wp:inline distT="0" distB="0" distL="0" distR="0" wp14:anchorId="3BB75122" wp14:editId="02B05993">
            <wp:extent cx="5036555" cy="360497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3158" cy="3695591"/>
                    </a:xfrm>
                    <a:prstGeom prst="rect">
                      <a:avLst/>
                    </a:prstGeom>
                    <a:noFill/>
                    <a:ln>
                      <a:noFill/>
                    </a:ln>
                  </pic:spPr>
                </pic:pic>
              </a:graphicData>
            </a:graphic>
          </wp:inline>
        </w:drawing>
      </w:r>
    </w:p>
    <w:p w:rsidR="00F17ED1" w:rsidRPr="00313B5C" w:rsidRDefault="00F17ED1" w:rsidP="00313B5C">
      <w:pPr>
        <w:spacing w:after="0"/>
        <w:ind w:firstLine="708"/>
        <w:jc w:val="both"/>
        <w:rPr>
          <w:rFonts w:ascii="Times New Roman" w:hAnsi="Times New Roman" w:cs="Times New Roman"/>
          <w:noProof/>
          <w:sz w:val="24"/>
          <w:szCs w:val="24"/>
        </w:rPr>
      </w:pPr>
      <w:r w:rsidRPr="00313B5C">
        <w:rPr>
          <w:rFonts w:ascii="Times New Roman" w:hAnsi="Times New Roman" w:cs="Times New Roman"/>
          <w:b/>
          <w:bCs/>
          <w:sz w:val="24"/>
          <w:szCs w:val="24"/>
        </w:rPr>
        <w:t>Kaynak:</w:t>
      </w:r>
      <w:r w:rsidRPr="00313B5C">
        <w:rPr>
          <w:rFonts w:ascii="Times New Roman" w:hAnsi="Times New Roman" w:cs="Times New Roman"/>
          <w:sz w:val="24"/>
          <w:szCs w:val="24"/>
        </w:rPr>
        <w:t xml:space="preserve"> </w:t>
      </w:r>
      <w:r w:rsidRPr="00313B5C">
        <w:rPr>
          <w:rFonts w:ascii="Times New Roman" w:hAnsi="Times New Roman" w:cs="Times New Roman"/>
          <w:noProof/>
          <w:sz w:val="24"/>
          <w:szCs w:val="24"/>
        </w:rPr>
        <w:t>Mossialos, Djordjevic, Osborn &amp; Sarnak, 2017, s. 177</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Sağlık sisteminde fonlar bireyler ve devlet tarafından sağlanmaktadır. Bireyler; vergiler, primler ve cepten ödemeler yoluyla sosyal güvenlik kapsamındaki hizmetlerden yararlanmaktadır. Devlet Medicare ve Medicaid programları için vergi yoluyla fon sağlar. Ayrıca kamu çalışanları primleri ve vergi sübvansiyonları kamu sağlık hizmetleri için fon kaynağıdır. Özel sigorta şirketlerinin topladığı primler sağlık hizmetleri için kullanılan fon kaynaklarındandır. Ayrıca sağlık hizmeti sunucuları verdikleri hizmet karşılığında sosyal güvenlik hizmetlerinden faydalanmaktadır (Sargutan, 2006).</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Amerika’nın sağlık sigorta sistemi kompleks bir yapıya sahip olup, özel sigortaların kamuya göre daha fazla olması yönüyle dünyada tektir. ABD’de hizmet veren en önemli kamu sağlık sigortası programları Medicaid ve Medicare’dir. </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Medicare programı 65 yaş ve üzeri kişileri, engellileri ve son dönemlerde de kronik böbrek yetmezliği hastalarını kapsamaktadır. Bu programda, 2017 yılı itibariyle 58 milyondan fazla insana 705,9 milyar dolar harcama yapılmıştır. Bu para Medicare Güven Fonlarından sağlanmaktadır. Medicare sağlık planı iki şekilde sunulmaktadır. A Bölümü kapsamında (Hastane sigortası) evde sağlık hizmetleri, yataklı tedavi hizmetleri ve hemşirelik hizmetleri gibi hizmetler yer alırken B Bölümü kapsamında (Tıbbi sigorta) koruyucu sağlık hizmetleri, ayaktan tedavi hizmetleri ve bazı hekimlik hizmetleri sunulmaktadır. D Bölümü ise ilaç hizmetlerini kapsamaktadır. Uzun süreli bakım, birçok diş bakımı, gözlük reçetelemeye yönelik göz muayeneleri, kozmetik cerrahi ve akupunktur gibi hizmetler Medicare kapsamında yer almaz (Medicare,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noProof/>
          <w:sz w:val="24"/>
          <w:szCs w:val="24"/>
        </w:rPr>
        <w:t xml:space="preserve">Medicaid  programları milyonlarca yoksul aileye, çocuğa, hamile kadına, çocuksuz yetişkinlere, yaşlılara ve engelli insanlara hizmet etmektedir.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gelirleri ve kaynakları sağlık hizmetlerine ödeme yapmaya yetersiz olan her yaştan insan için bir devlet sigorta </w:t>
      </w:r>
      <w:r w:rsidRPr="00313B5C">
        <w:rPr>
          <w:rFonts w:ascii="Times New Roman" w:hAnsi="Times New Roman" w:cs="Times New Roman"/>
          <w:sz w:val="24"/>
          <w:szCs w:val="24"/>
        </w:rPr>
        <w:lastRenderedPageBreak/>
        <w:t>programı olarak tanımlanmaktadır.</w:t>
      </w:r>
      <w:r w:rsidRPr="00313B5C">
        <w:rPr>
          <w:rFonts w:ascii="Times New Roman" w:hAnsi="Times New Roman" w:cs="Times New Roman"/>
          <w:color w:val="222222"/>
          <w:sz w:val="24"/>
          <w:szCs w:val="24"/>
          <w:shd w:val="clear" w:color="auto" w:fill="FFFFFF"/>
        </w:rPr>
        <w:t xml:space="preserve">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2017'de 74 milyon düşük gelirli ve engelli kişiye ücretsiz sağlık sigortası sağlayan en büyük fon kaynağıdır.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reçete edilmiş ilaçları da içeren kapsamlı yardımlar sağlamaktadır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2020).</w:t>
      </w:r>
    </w:p>
    <w:p w:rsidR="00F17ED1" w:rsidRPr="00313B5C" w:rsidRDefault="00F17ED1" w:rsidP="00313B5C">
      <w:pPr>
        <w:jc w:val="both"/>
        <w:rPr>
          <w:rFonts w:ascii="Times New Roman" w:hAnsi="Times New Roman" w:cs="Times New Roman"/>
          <w:sz w:val="24"/>
          <w:szCs w:val="24"/>
        </w:rPr>
      </w:pP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ve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arasındaki temel farklılıklar bulunmaktadır. Bunlar </w:t>
      </w:r>
      <w:sdt>
        <w:sdtPr>
          <w:rPr>
            <w:rFonts w:ascii="Times New Roman" w:hAnsi="Times New Roman" w:cs="Times New Roman"/>
            <w:sz w:val="24"/>
            <w:szCs w:val="24"/>
          </w:rPr>
          <w:id w:val="628591771"/>
          <w:citation/>
        </w:sdtPr>
        <w:sdtEndPr/>
        <w:sdtContent>
          <w:r w:rsidRPr="00313B5C">
            <w:rPr>
              <w:rFonts w:ascii="Times New Roman" w:hAnsi="Times New Roman" w:cs="Times New Roman"/>
              <w:sz w:val="24"/>
              <w:szCs w:val="24"/>
            </w:rPr>
            <w:fldChar w:fldCharType="begin"/>
          </w:r>
          <w:r w:rsidRPr="00313B5C">
            <w:rPr>
              <w:rFonts w:ascii="Times New Roman" w:hAnsi="Times New Roman" w:cs="Times New Roman"/>
              <w:sz w:val="24"/>
              <w:szCs w:val="24"/>
            </w:rPr>
            <w:instrText xml:space="preserve"> CITATION Sar06 \l 1055 </w:instrText>
          </w:r>
          <w:r w:rsidRPr="00313B5C">
            <w:rPr>
              <w:rFonts w:ascii="Times New Roman" w:hAnsi="Times New Roman" w:cs="Times New Roman"/>
              <w:sz w:val="24"/>
              <w:szCs w:val="24"/>
            </w:rPr>
            <w:fldChar w:fldCharType="separate"/>
          </w:r>
          <w:r w:rsidRPr="00313B5C">
            <w:rPr>
              <w:rFonts w:ascii="Times New Roman" w:hAnsi="Times New Roman" w:cs="Times New Roman"/>
              <w:noProof/>
              <w:sz w:val="24"/>
              <w:szCs w:val="24"/>
            </w:rPr>
            <w:t>(Sargutan, Amerika Birleşik Devletleri Sağlık Sistemi, 2006)</w:t>
          </w:r>
          <w:r w:rsidRPr="00313B5C">
            <w:rPr>
              <w:rFonts w:ascii="Times New Roman" w:hAnsi="Times New Roman" w:cs="Times New Roman"/>
              <w:sz w:val="24"/>
              <w:szCs w:val="24"/>
            </w:rPr>
            <w:fldChar w:fldCharType="end"/>
          </w:r>
        </w:sdtContent>
      </w:sdt>
      <w:r w:rsidRPr="00313B5C">
        <w:rPr>
          <w:rFonts w:ascii="Times New Roman" w:hAnsi="Times New Roman" w:cs="Times New Roman"/>
          <w:sz w:val="24"/>
          <w:szCs w:val="24"/>
        </w:rPr>
        <w:t>:</w:t>
      </w:r>
    </w:p>
    <w:p w:rsidR="00F17ED1" w:rsidRPr="00313B5C" w:rsidRDefault="00F17ED1" w:rsidP="00313B5C">
      <w:pPr>
        <w:pStyle w:val="ListeParagraf"/>
        <w:numPr>
          <w:ilvl w:val="0"/>
          <w:numId w:val="9"/>
        </w:numPr>
        <w:spacing w:line="360" w:lineRule="auto"/>
        <w:jc w:val="both"/>
        <w:rPr>
          <w:rFonts w:ascii="Times New Roman" w:hAnsi="Times New Roman" w:cs="Times New Roman"/>
          <w:sz w:val="24"/>
          <w:szCs w:val="24"/>
        </w:rPr>
      </w:pP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kapsama alanı bakımından </w:t>
      </w:r>
      <w:proofErr w:type="spellStart"/>
      <w:r w:rsidRPr="00313B5C">
        <w:rPr>
          <w:rFonts w:ascii="Times New Roman" w:hAnsi="Times New Roman" w:cs="Times New Roman"/>
          <w:sz w:val="24"/>
          <w:szCs w:val="24"/>
        </w:rPr>
        <w:t>Medicare’e</w:t>
      </w:r>
      <w:proofErr w:type="spellEnd"/>
      <w:r w:rsidRPr="00313B5C">
        <w:rPr>
          <w:rFonts w:ascii="Times New Roman" w:hAnsi="Times New Roman" w:cs="Times New Roman"/>
          <w:sz w:val="24"/>
          <w:szCs w:val="24"/>
        </w:rPr>
        <w:t xml:space="preserve"> göre daha geniş bir kitleye hitap eden sosyal refah programıdır.</w:t>
      </w:r>
    </w:p>
    <w:p w:rsidR="00F17ED1" w:rsidRPr="00313B5C" w:rsidRDefault="00F17ED1" w:rsidP="00313B5C">
      <w:pPr>
        <w:pStyle w:val="ListeParagraf"/>
        <w:numPr>
          <w:ilvl w:val="0"/>
          <w:numId w:val="9"/>
        </w:numPr>
        <w:spacing w:line="360" w:lineRule="auto"/>
        <w:jc w:val="both"/>
        <w:rPr>
          <w:rFonts w:ascii="Times New Roman" w:hAnsi="Times New Roman" w:cs="Times New Roman"/>
          <w:sz w:val="24"/>
          <w:szCs w:val="24"/>
        </w:rPr>
      </w:pPr>
      <w:r w:rsidRPr="00313B5C">
        <w:rPr>
          <w:rFonts w:ascii="Times New Roman" w:hAnsi="Times New Roman" w:cs="Times New Roman"/>
          <w:sz w:val="24"/>
          <w:szCs w:val="24"/>
        </w:rPr>
        <w:t xml:space="preserve">Bazı gruplar hem </w:t>
      </w:r>
      <w:proofErr w:type="spellStart"/>
      <w:r w:rsidRPr="00313B5C">
        <w:rPr>
          <w:rFonts w:ascii="Times New Roman" w:hAnsi="Times New Roman" w:cs="Times New Roman"/>
          <w:sz w:val="24"/>
          <w:szCs w:val="24"/>
        </w:rPr>
        <w:t>Medicaid</w:t>
      </w:r>
      <w:proofErr w:type="spellEnd"/>
      <w:r w:rsidRPr="00313B5C">
        <w:rPr>
          <w:rFonts w:ascii="Times New Roman" w:hAnsi="Times New Roman" w:cs="Times New Roman"/>
          <w:sz w:val="24"/>
          <w:szCs w:val="24"/>
        </w:rPr>
        <w:t xml:space="preserve"> hem de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programı kapsamındaki hizmetlerden faydalanabilirler. Bu kapsamdaki hizmetlerden yararlananlar Vasıflı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Faydalanıcı Programı (QMB) ve Asgari Gelir </w:t>
      </w:r>
      <w:proofErr w:type="spellStart"/>
      <w:r w:rsidRPr="00313B5C">
        <w:rPr>
          <w:rFonts w:ascii="Times New Roman" w:hAnsi="Times New Roman" w:cs="Times New Roman"/>
          <w:sz w:val="24"/>
          <w:szCs w:val="24"/>
        </w:rPr>
        <w:t>Medicare</w:t>
      </w:r>
      <w:proofErr w:type="spellEnd"/>
      <w:r w:rsidRPr="00313B5C">
        <w:rPr>
          <w:rFonts w:ascii="Times New Roman" w:hAnsi="Times New Roman" w:cs="Times New Roman"/>
          <w:sz w:val="24"/>
          <w:szCs w:val="24"/>
        </w:rPr>
        <w:t xml:space="preserve"> Faydalanıcı Programı olmak üzere iki ayrı programın kapsamı altındadır.</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Gazi İlişkileri Bölümü (VA) yürüttüğü bir programla devletin Gazi Hastaneleri tarafından verilen ve vergilerle finanse edilen ücretsiz sağlık hizmetlerini sunmaktadır </w:t>
      </w:r>
      <w:r w:rsidRPr="00313B5C">
        <w:rPr>
          <w:rFonts w:ascii="Times New Roman" w:hAnsi="Times New Roman" w:cs="Times New Roman"/>
          <w:noProof/>
          <w:sz w:val="24"/>
          <w:szCs w:val="24"/>
        </w:rPr>
        <w:t>(U.S Department of Veterans Affairs, 2019)</w:t>
      </w:r>
      <w:r w:rsidRPr="00313B5C">
        <w:rPr>
          <w:rFonts w:ascii="Times New Roman" w:hAnsi="Times New Roman" w:cs="Times New Roman"/>
          <w:sz w:val="24"/>
          <w:szCs w:val="24"/>
        </w:rPr>
        <w:t xml:space="preserve">. </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Özel sigorta programları Amerikalılar için en kapsamlı finansman kaynağıdır. Bu programlar sağlık sigorta sisteminin yapısını önemli ölçüde etkilemektedir. Özel sağlık sigortaları hizmet başına ödeme planları (Fee for Service) ve yönetilen bakım planları (Maneged Care) olmak üzere iki şekilde hizmet vermektedir. </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Sağlık Bakım Organizasyonları (HMO) maliyeti düşük ve dar kapsamlı hizmetleri içerir ve belirli sunuculardan alınabilir. Genellikle kendi hastanelerine sahip kuruluşlardır. Muayene birinci basamak sağlık hizmeti veren kurumlardan sevk yoluyla gerçekleştirilir. Tercihli Hizmet Organizasyonları (PPO) maliyeti daha yüksek faaliyetleri, anlaşmalar yoluyla ve bağımsız çalışanlarla yürütmektedir. Ödenen prim tutarı Tercihli Hizmet Organizasyonlarında Sağlık Bakım Organizasyonlarına göre daha fazladır. Hekim-Hastane Organizasyonları (PHO) ise bir grup hekim ve bir hastanenin sözleşme yoluyla anlaşması sonucunda oluşturulan organizasyonlardır. Tek bir kuruluşun sigortalı abonelerine yönelik hizmet sunarlar </w:t>
      </w:r>
      <w:sdt>
        <w:sdtPr>
          <w:rPr>
            <w:rFonts w:ascii="Times New Roman" w:hAnsi="Times New Roman" w:cs="Times New Roman"/>
            <w:noProof/>
            <w:sz w:val="24"/>
            <w:szCs w:val="24"/>
          </w:rPr>
          <w:id w:val="-1996788279"/>
          <w:citation/>
        </w:sdtPr>
        <w:sdtEndPr/>
        <w:sdtContent>
          <w:r w:rsidRPr="00313B5C">
            <w:rPr>
              <w:rFonts w:ascii="Times New Roman" w:hAnsi="Times New Roman" w:cs="Times New Roman"/>
              <w:noProof/>
              <w:sz w:val="24"/>
              <w:szCs w:val="24"/>
            </w:rPr>
            <w:fldChar w:fldCharType="begin"/>
          </w:r>
          <w:r w:rsidRPr="00313B5C">
            <w:rPr>
              <w:rFonts w:ascii="Times New Roman" w:hAnsi="Times New Roman" w:cs="Times New Roman"/>
              <w:noProof/>
              <w:sz w:val="24"/>
              <w:szCs w:val="24"/>
            </w:rPr>
            <w:instrText xml:space="preserve"> CITATION Hea20 \l 1055 </w:instrText>
          </w:r>
          <w:r w:rsidRPr="00313B5C">
            <w:rPr>
              <w:rFonts w:ascii="Times New Roman" w:hAnsi="Times New Roman" w:cs="Times New Roman"/>
              <w:noProof/>
              <w:sz w:val="24"/>
              <w:szCs w:val="24"/>
            </w:rPr>
            <w:fldChar w:fldCharType="separate"/>
          </w:r>
          <w:r w:rsidRPr="00313B5C">
            <w:rPr>
              <w:rFonts w:ascii="Times New Roman" w:hAnsi="Times New Roman" w:cs="Times New Roman"/>
              <w:noProof/>
              <w:sz w:val="24"/>
              <w:szCs w:val="24"/>
            </w:rPr>
            <w:t>(Health Care, 2020)</w:t>
          </w:r>
          <w:r w:rsidRPr="00313B5C">
            <w:rPr>
              <w:rFonts w:ascii="Times New Roman" w:hAnsi="Times New Roman" w:cs="Times New Roman"/>
              <w:noProof/>
              <w:sz w:val="24"/>
              <w:szCs w:val="24"/>
            </w:rPr>
            <w:fldChar w:fldCharType="end"/>
          </w:r>
        </w:sdtContent>
      </w:sdt>
      <w:r w:rsidRPr="00313B5C">
        <w:rPr>
          <w:rFonts w:ascii="Times New Roman" w:hAnsi="Times New Roman" w:cs="Times New Roman"/>
          <w:noProof/>
          <w:sz w:val="24"/>
          <w:szCs w:val="24"/>
        </w:rPr>
        <w:t>.</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Amerikalıların belirli bir kısmı yaş, meslek ve gelir gibi kriterlerden dolayı sigorta kapsamı dışında kalmaktadır. Sağlık sigortası kapsamı dışında kalan nüfus ABD Sayım Bürosu 2019 verilerine göre %10 olarak bulunmuştur (United States Census Bureau,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Amerika’da sağlık hizmetlerine yapılan harcamalar diğer ülkelere bakıldığında en büyük paya sahiptir. Mevcut programlar tüm kesimi kapsamadığı için tüm topluma hitap eden bir sigorta sisteminden bahsetmek mümkün değildir. </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Sağlık hizmetleri çok </w:t>
      </w:r>
      <w:proofErr w:type="gramStart"/>
      <w:r w:rsidRPr="00313B5C">
        <w:rPr>
          <w:rFonts w:ascii="Times New Roman" w:hAnsi="Times New Roman" w:cs="Times New Roman"/>
          <w:sz w:val="24"/>
          <w:szCs w:val="24"/>
        </w:rPr>
        <w:t>kompleks</w:t>
      </w:r>
      <w:proofErr w:type="gramEnd"/>
      <w:r w:rsidRPr="00313B5C">
        <w:rPr>
          <w:rFonts w:ascii="Times New Roman" w:hAnsi="Times New Roman" w:cs="Times New Roman"/>
          <w:sz w:val="24"/>
          <w:szCs w:val="24"/>
        </w:rPr>
        <w:t xml:space="preserve"> bir yapıya sahiptir. Bu durum profesyonel sağlık yöneticilerine olan ihtiyacı artırmıştır. Sağlık kuruluşları önceden doktorlar tarafından yönetilirken son zamanlarda bu görevi uzman sağlık yöneticileri üstlenmektedir. Sağlık yöneticileri sağlık kurumlarında muhasebe ve finansal yönetim, insan kaynakları yönetimi ve stratejik planlama gibi faaliyetlerden sorumludur.</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lastRenderedPageBreak/>
        <w:t>ABD’de hekimler sağlık sisteminin merkezini oluşturmaktadır. Sağlık hizmeti alıcılarının ilk başvurdukları yer hekimlerin özel muayenehaneleridir. OECD (2019) verilerine göre hekim sayılarına bakıldığında; 1.000 kişi başına düşen hekim sayısının 2.6 olduğu belirlenmiştir (OECD, 2019).</w:t>
      </w:r>
    </w:p>
    <w:p w:rsidR="00F17ED1" w:rsidRPr="00313B5C" w:rsidRDefault="00F17ED1" w:rsidP="00313B5C">
      <w:pPr>
        <w:ind w:firstLine="708"/>
        <w:jc w:val="both"/>
        <w:rPr>
          <w:rFonts w:ascii="Times New Roman" w:hAnsi="Times New Roman" w:cs="Times New Roman"/>
          <w:sz w:val="24"/>
          <w:szCs w:val="24"/>
        </w:rPr>
      </w:pPr>
    </w:p>
    <w:p w:rsidR="00F17ED1" w:rsidRPr="00313B5C" w:rsidRDefault="00F17ED1" w:rsidP="00313B5C">
      <w:pPr>
        <w:pStyle w:val="Balk1"/>
        <w:numPr>
          <w:ilvl w:val="0"/>
          <w:numId w:val="14"/>
        </w:numPr>
        <w:spacing w:after="100" w:afterAutospacing="1" w:line="360" w:lineRule="auto"/>
        <w:jc w:val="both"/>
        <w:rPr>
          <w:rFonts w:ascii="Times New Roman" w:hAnsi="Times New Roman" w:cs="Times New Roman"/>
          <w:sz w:val="24"/>
          <w:szCs w:val="24"/>
        </w:rPr>
      </w:pPr>
      <w:bookmarkStart w:id="26" w:name="_Toc32685145"/>
      <w:bookmarkStart w:id="27" w:name="_Toc42430901"/>
      <w:r w:rsidRPr="00313B5C">
        <w:rPr>
          <w:rFonts w:ascii="Times New Roman" w:hAnsi="Times New Roman" w:cs="Times New Roman"/>
          <w:sz w:val="24"/>
          <w:szCs w:val="24"/>
        </w:rPr>
        <w:t>ABD VE TÜRKİYE SAĞLIK SİSTEMLERİNİN KARŞILAŞTIRILMASI</w:t>
      </w:r>
      <w:bookmarkEnd w:id="26"/>
      <w:bookmarkEnd w:id="27"/>
    </w:p>
    <w:p w:rsidR="00F17ED1" w:rsidRPr="00313B5C" w:rsidRDefault="00F17ED1" w:rsidP="00313B5C">
      <w:pPr>
        <w:ind w:firstLine="360"/>
        <w:jc w:val="both"/>
        <w:rPr>
          <w:rFonts w:ascii="Times New Roman" w:hAnsi="Times New Roman" w:cs="Times New Roman"/>
          <w:b/>
          <w:sz w:val="24"/>
          <w:szCs w:val="24"/>
        </w:rPr>
      </w:pPr>
      <w:bookmarkStart w:id="28" w:name="_Toc33364222"/>
      <w:r w:rsidRPr="00313B5C">
        <w:rPr>
          <w:rFonts w:ascii="Times New Roman" w:hAnsi="Times New Roman" w:cs="Times New Roman"/>
          <w:b/>
          <w:sz w:val="24"/>
          <w:szCs w:val="24"/>
        </w:rPr>
        <w:t>Tablo 1:</w:t>
      </w:r>
      <w:r w:rsidRPr="00313B5C">
        <w:rPr>
          <w:rFonts w:ascii="Times New Roman" w:hAnsi="Times New Roman" w:cs="Times New Roman"/>
          <w:sz w:val="24"/>
          <w:szCs w:val="24"/>
        </w:rPr>
        <w:t xml:space="preserve"> ABD ve Türkiye Göstergelerinin Karşılaştırılması</w:t>
      </w:r>
      <w:bookmarkEnd w:id="28"/>
    </w:p>
    <w:tbl>
      <w:tblPr>
        <w:tblStyle w:val="KlavuzTablo1Ak-Vurgu11"/>
        <w:tblW w:w="9072" w:type="dxa"/>
        <w:tblInd w:w="108" w:type="dxa"/>
        <w:tblLook w:val="04A0" w:firstRow="1" w:lastRow="0" w:firstColumn="1" w:lastColumn="0" w:noHBand="0" w:noVBand="1"/>
      </w:tblPr>
      <w:tblGrid>
        <w:gridCol w:w="4427"/>
        <w:gridCol w:w="977"/>
        <w:gridCol w:w="1826"/>
        <w:gridCol w:w="1842"/>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404"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Gösterge</w:t>
            </w:r>
          </w:p>
        </w:tc>
        <w:tc>
          <w:tcPr>
            <w:tcW w:w="18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18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top w:val="single" w:sz="12" w:space="0" w:color="5B9BD5" w:themeColor="accent1"/>
              <w:left w:val="single" w:sz="12" w:space="0" w:color="5B9BD5" w:themeColor="accent1"/>
              <w:bottom w:val="single" w:sz="2" w:space="0" w:color="BDD6EE" w:themeColor="accent1" w:themeTint="66"/>
              <w:right w:val="single" w:sz="12" w:space="0" w:color="5B9BD5" w:themeColor="accent1"/>
            </w:tcBorders>
            <w:vAlign w:val="center"/>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Toplam Nüfus (2018)</w:t>
            </w:r>
          </w:p>
        </w:tc>
        <w:tc>
          <w:tcPr>
            <w:tcW w:w="1826" w:type="dxa"/>
            <w:tcBorders>
              <w:top w:val="single" w:sz="12" w:space="0" w:color="5B9BD5" w:themeColor="accent1"/>
              <w:left w:val="single" w:sz="12" w:space="0" w:color="5B9BD5" w:themeColor="accent1"/>
              <w:bottom w:val="single" w:sz="2" w:space="0" w:color="BDD6EE" w:themeColor="accent1" w:themeTint="66"/>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327.167.434</w:t>
            </w:r>
          </w:p>
        </w:tc>
        <w:tc>
          <w:tcPr>
            <w:tcW w:w="1842" w:type="dxa"/>
            <w:tcBorders>
              <w:top w:val="single" w:sz="12" w:space="0" w:color="5B9BD5" w:themeColor="accent1"/>
              <w:left w:val="single" w:sz="12" w:space="0" w:color="5B9BD5" w:themeColor="accent1"/>
              <w:bottom w:val="single" w:sz="2" w:space="0" w:color="BDD6EE" w:themeColor="accent1" w:themeTint="66"/>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81.404.211</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top w:val="single" w:sz="2" w:space="0" w:color="BDD6EE" w:themeColor="accent1" w:themeTint="66"/>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65 Yaş ve Üzeri Nüfus</w:t>
            </w:r>
          </w:p>
        </w:tc>
        <w:tc>
          <w:tcPr>
            <w:tcW w:w="1826" w:type="dxa"/>
            <w:tcBorders>
              <w:top w:val="single" w:sz="2" w:space="0" w:color="BDD6EE" w:themeColor="accent1" w:themeTint="66"/>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52.431.193</w:t>
            </w:r>
          </w:p>
        </w:tc>
        <w:tc>
          <w:tcPr>
            <w:tcW w:w="1842" w:type="dxa"/>
            <w:tcBorders>
              <w:top w:val="single" w:sz="2" w:space="0" w:color="BDD6EE" w:themeColor="accent1" w:themeTint="66"/>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7.040.797</w:t>
            </w:r>
          </w:p>
        </w:tc>
      </w:tr>
      <w:tr w:rsidR="00F17ED1" w:rsidRPr="00313B5C" w:rsidTr="009F0079">
        <w:trPr>
          <w:trHeight w:val="310"/>
        </w:trPr>
        <w:tc>
          <w:tcPr>
            <w:cnfStyle w:val="001000000000" w:firstRow="0" w:lastRow="0" w:firstColumn="1" w:lastColumn="0" w:oddVBand="0" w:evenVBand="0" w:oddHBand="0" w:evenHBand="0" w:firstRowFirstColumn="0" w:firstRowLastColumn="0" w:lastRowFirstColumn="0" w:lastRowLastColumn="0"/>
            <w:tcW w:w="5404" w:type="dxa"/>
            <w:gridSpan w:val="2"/>
            <w:tcBorders>
              <w:top w:val="single" w:sz="2" w:space="0" w:color="BDD6EE" w:themeColor="accent1" w:themeTint="66"/>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15-64 Yaş Arası Nüfus</w:t>
            </w:r>
          </w:p>
        </w:tc>
        <w:tc>
          <w:tcPr>
            <w:tcW w:w="1826" w:type="dxa"/>
            <w:tcBorders>
              <w:top w:val="single" w:sz="2" w:space="0" w:color="BDD6EE" w:themeColor="accent1" w:themeTint="66"/>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213.850.797</w:t>
            </w:r>
          </w:p>
        </w:tc>
        <w:tc>
          <w:tcPr>
            <w:tcW w:w="1842" w:type="dxa"/>
            <w:tcBorders>
              <w:top w:val="single" w:sz="2" w:space="0" w:color="BDD6EE" w:themeColor="accent1" w:themeTint="66"/>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55.257.504</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0-14 Yaş Arası Nüfus</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67.005.738</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19.108.910</w:t>
            </w:r>
          </w:p>
        </w:tc>
      </w:tr>
      <w:tr w:rsidR="00F17ED1" w:rsidRPr="00313B5C" w:rsidTr="009F0079">
        <w:trPr>
          <w:trHeight w:val="276"/>
        </w:trPr>
        <w:tc>
          <w:tcPr>
            <w:cnfStyle w:val="001000000000" w:firstRow="0" w:lastRow="0" w:firstColumn="1" w:lastColumn="0" w:oddVBand="0" w:evenVBand="0" w:oddHBand="0" w:evenHBand="0" w:firstRowFirstColumn="0" w:firstRowLastColumn="0" w:lastRowFirstColumn="0" w:lastRowLastColumn="0"/>
            <w:tcW w:w="4427" w:type="dxa"/>
            <w:vMerge w:val="restart"/>
            <w:tcBorders>
              <w:lef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Doğumda Beklenen Yaşam Süresi (2017)</w:t>
            </w:r>
          </w:p>
        </w:tc>
        <w:tc>
          <w:tcPr>
            <w:tcW w:w="977" w:type="dxa"/>
            <w:tcBorders>
              <w:right w:val="single" w:sz="12" w:space="0" w:color="5B9BD5" w:themeColor="accent1"/>
            </w:tcBorders>
            <w:vAlign w:val="bottom"/>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Kadın</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81,2</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80,8</w:t>
            </w:r>
          </w:p>
        </w:tc>
      </w:tr>
      <w:tr w:rsidR="00F17ED1" w:rsidRPr="00313B5C" w:rsidTr="009F0079">
        <w:trPr>
          <w:trHeight w:val="264"/>
        </w:trPr>
        <w:tc>
          <w:tcPr>
            <w:cnfStyle w:val="001000000000" w:firstRow="0" w:lastRow="0" w:firstColumn="1" w:lastColumn="0" w:oddVBand="0" w:evenVBand="0" w:oddHBand="0" w:evenHBand="0" w:firstRowFirstColumn="0" w:firstRowLastColumn="0" w:lastRowFirstColumn="0" w:lastRowLastColumn="0"/>
            <w:tcW w:w="4427" w:type="dxa"/>
            <w:vMerge/>
            <w:tcBorders>
              <w:lef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p>
        </w:tc>
        <w:tc>
          <w:tcPr>
            <w:tcW w:w="977" w:type="dxa"/>
            <w:tcBorders>
              <w:right w:val="single" w:sz="12" w:space="0" w:color="5B9BD5" w:themeColor="accent1"/>
            </w:tcBorders>
            <w:vAlign w:val="bottom"/>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Erkek</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76,1</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75,3</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Doğum Oranı (1.000 kişi başına / 2017)</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11,8</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16,264</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Doğurganlık Oranı (2018)</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1,7655</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2,081</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Toplam Ölüm Oranı (2017)</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8,5</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5,394</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Kadın Ölüm Oranı (1.000 kişi kaşına / 2016)</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81,934</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70,13</w:t>
            </w:r>
          </w:p>
        </w:tc>
      </w:tr>
      <w:tr w:rsidR="00F17ED1" w:rsidRPr="00313B5C" w:rsidTr="009F0079">
        <w:trPr>
          <w:trHeight w:val="31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Erkek Ölüm Oranı (1.000 kişi başına / 2016)</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138,25</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137,763</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Bebek Ölüm Oranı (1.000 kişi başına / 2018)</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5,6</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9,1</w:t>
            </w:r>
          </w:p>
        </w:tc>
      </w:tr>
      <w:tr w:rsidR="00F17ED1" w:rsidRPr="00313B5C" w:rsidTr="009F0079">
        <w:trPr>
          <w:trHeight w:val="244"/>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proofErr w:type="spellStart"/>
            <w:r w:rsidRPr="00313B5C">
              <w:rPr>
                <w:rFonts w:ascii="Times New Roman" w:hAnsi="Times New Roman" w:cs="Times New Roman"/>
                <w:b w:val="0"/>
                <w:sz w:val="24"/>
                <w:szCs w:val="24"/>
              </w:rPr>
              <w:t>Yenidoğan</w:t>
            </w:r>
            <w:proofErr w:type="spellEnd"/>
            <w:r w:rsidRPr="00313B5C">
              <w:rPr>
                <w:rFonts w:ascii="Times New Roman" w:hAnsi="Times New Roman" w:cs="Times New Roman"/>
                <w:b w:val="0"/>
                <w:sz w:val="24"/>
                <w:szCs w:val="24"/>
              </w:rPr>
              <w:t xml:space="preserve"> Ölüm Oranı (1.000 kişi başına / 2018)</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3,5</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5,5</w:t>
            </w:r>
          </w:p>
        </w:tc>
      </w:tr>
      <w:tr w:rsidR="00F17ED1" w:rsidRPr="00313B5C" w:rsidTr="009F0079">
        <w:trPr>
          <w:trHeight w:val="264"/>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5 Yaş Altı Ölüm Oranı (1.000 kişi başına / 2018)</w:t>
            </w:r>
          </w:p>
        </w:tc>
        <w:tc>
          <w:tcPr>
            <w:tcW w:w="1826"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6,5</w:t>
            </w:r>
          </w:p>
        </w:tc>
        <w:tc>
          <w:tcPr>
            <w:tcW w:w="184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10,6</w:t>
            </w:r>
          </w:p>
        </w:tc>
      </w:tr>
      <w:tr w:rsidR="00F17ED1" w:rsidRPr="00313B5C" w:rsidTr="009F0079">
        <w:trPr>
          <w:trHeight w:val="271"/>
        </w:trPr>
        <w:tc>
          <w:tcPr>
            <w:cnfStyle w:val="001000000000" w:firstRow="0" w:lastRow="0" w:firstColumn="1" w:lastColumn="0" w:oddVBand="0" w:evenVBand="0" w:oddHBand="0" w:evenHBand="0" w:firstRowFirstColumn="0" w:firstRowLastColumn="0" w:lastRowFirstColumn="0" w:lastRowLastColumn="0"/>
            <w:tcW w:w="5404" w:type="dxa"/>
            <w:gridSpan w:val="2"/>
            <w:tcBorders>
              <w:left w:val="single" w:sz="12" w:space="0" w:color="5B9BD5" w:themeColor="accent1"/>
              <w:bottom w:val="single" w:sz="12" w:space="0" w:color="5B9BD5" w:themeColor="accent1"/>
              <w:right w:val="single" w:sz="12" w:space="0" w:color="5B9BD5" w:themeColor="accent1"/>
            </w:tcBorders>
            <w:vAlign w:val="bottom"/>
          </w:tcPr>
          <w:p w:rsidR="00F17ED1" w:rsidRPr="00313B5C" w:rsidRDefault="00F17ED1" w:rsidP="00313B5C">
            <w:pPr>
              <w:jc w:val="both"/>
              <w:rPr>
                <w:rFonts w:ascii="Times New Roman" w:hAnsi="Times New Roman" w:cs="Times New Roman"/>
                <w:b w:val="0"/>
                <w:sz w:val="24"/>
                <w:szCs w:val="24"/>
              </w:rPr>
            </w:pPr>
            <w:r w:rsidRPr="00313B5C">
              <w:rPr>
                <w:rFonts w:ascii="Times New Roman" w:hAnsi="Times New Roman" w:cs="Times New Roman"/>
                <w:b w:val="0"/>
                <w:sz w:val="24"/>
                <w:szCs w:val="24"/>
              </w:rPr>
              <w:t>GSMH İçerisinde Cari Sağlık Harcamalarının Yüzdesi (2017)</w:t>
            </w:r>
          </w:p>
        </w:tc>
        <w:tc>
          <w:tcPr>
            <w:tcW w:w="1826"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17,06</w:t>
            </w:r>
          </w:p>
        </w:tc>
        <w:tc>
          <w:tcPr>
            <w:tcW w:w="184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13B5C">
              <w:rPr>
                <w:rFonts w:ascii="Times New Roman" w:hAnsi="Times New Roman" w:cs="Times New Roman"/>
                <w:bCs/>
                <w:sz w:val="24"/>
                <w:szCs w:val="24"/>
              </w:rPr>
              <w:t>4,22</w:t>
            </w:r>
          </w:p>
        </w:tc>
      </w:tr>
    </w:tbl>
    <w:p w:rsidR="00F17ED1" w:rsidRPr="00313B5C" w:rsidRDefault="00F17ED1" w:rsidP="00313B5C">
      <w:pPr>
        <w:ind w:firstLine="708"/>
        <w:jc w:val="both"/>
        <w:rPr>
          <w:rFonts w:ascii="Times New Roman" w:hAnsi="Times New Roman" w:cs="Times New Roman"/>
          <w:b/>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OECD Statistics, 2020; The World Bank Statistics, 2019; WHO Statistics,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OECD 2018 verileri demografik açıdan incelendiğinde yaşlı nüfusun toplam nüfus içerisindeki payının ABD’de Türkiye’den yaklaşık iki kat daha fazla olduğu görülmektedir. Bu durum sağlık hizmetlerine olan talebi artırmaktadır. 0-14 yaş arası nüfus verileri incelendiğinde Türkiye nüfusunun Amerika’ya oranla daha genç ve dinamik yapıda olduğu görülmektedir. Türkiye ve Amerika için doğum verileri incelendiğinde ise bu verilerin Türkiye’de daha yüksek olması bu durumu desteklemektedir. Amerika’nın doğumda beklenen yaşam süreleri incelendiğinde hem kadın hem de erkek için Türkiye’ye kıyasla yaklaşık 1 yıl daha fazladır (Tablo 1).</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Türkiye ve Amerika için ölüm oranlarına bakıldığında Amerika’da ölüm oranının fazla olduğu görülmektedir. Bu veriler cinsiyete bağlı olarak ele alındığında ise erkekler açısından ölüm oranları arasında belirgin bir fark görülmezken kadınlarda Amerika’da ölüm oranı fazladır. İki ülke için de erkek ölümleri kadınlardan daha fazladır. Bebek ölüm, 5 yaş altı ölüm ve </w:t>
      </w:r>
      <w:proofErr w:type="spellStart"/>
      <w:r w:rsidRPr="00313B5C">
        <w:rPr>
          <w:rFonts w:ascii="Times New Roman" w:hAnsi="Times New Roman" w:cs="Times New Roman"/>
          <w:sz w:val="24"/>
          <w:szCs w:val="24"/>
        </w:rPr>
        <w:t>yenidoğan</w:t>
      </w:r>
      <w:proofErr w:type="spellEnd"/>
      <w:r w:rsidRPr="00313B5C">
        <w:rPr>
          <w:rFonts w:ascii="Times New Roman" w:hAnsi="Times New Roman" w:cs="Times New Roman"/>
          <w:sz w:val="24"/>
          <w:szCs w:val="24"/>
        </w:rPr>
        <w:t xml:space="preserve"> ölümleri ele alındığında Türkiye’de bu oranlar daha yüksektir. Bu verilerin Amerika’da daha düşük olması ülkenin gelişmişlik düzeyinin yüksek olduğunu gösteren etkenlerden biridir (Tablo 1). </w:t>
      </w:r>
    </w:p>
    <w:p w:rsidR="00F17ED1" w:rsidRPr="00313B5C" w:rsidRDefault="00F17ED1" w:rsidP="00313B5C">
      <w:pPr>
        <w:ind w:firstLine="708"/>
        <w:jc w:val="both"/>
        <w:rPr>
          <w:rFonts w:ascii="Times New Roman" w:hAnsi="Times New Roman" w:cs="Times New Roman"/>
          <w:sz w:val="24"/>
          <w:szCs w:val="24"/>
        </w:rPr>
      </w:pPr>
      <w:bookmarkStart w:id="29" w:name="_Toc33364127"/>
      <w:r w:rsidRPr="00313B5C">
        <w:rPr>
          <w:rFonts w:ascii="Times New Roman" w:hAnsi="Times New Roman" w:cs="Times New Roman"/>
          <w:b/>
          <w:sz w:val="24"/>
          <w:szCs w:val="24"/>
        </w:rPr>
        <w:lastRenderedPageBreak/>
        <w:t>Şekil 7:</w:t>
      </w:r>
      <w:r w:rsidRPr="00313B5C">
        <w:rPr>
          <w:rFonts w:ascii="Times New Roman" w:hAnsi="Times New Roman" w:cs="Times New Roman"/>
          <w:sz w:val="24"/>
          <w:szCs w:val="24"/>
        </w:rPr>
        <w:t xml:space="preserve"> SAGP doları cinsinden Gayrisafi Milli Gelir</w:t>
      </w:r>
      <w:bookmarkEnd w:id="29"/>
      <w:r w:rsidRPr="00313B5C">
        <w:rPr>
          <w:rFonts w:ascii="Times New Roman" w:hAnsi="Times New Roman" w:cs="Times New Roman"/>
          <w:sz w:val="24"/>
          <w:szCs w:val="24"/>
        </w:rPr>
        <w:t xml:space="preserve"> </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noProof/>
          <w:sz w:val="24"/>
          <w:szCs w:val="24"/>
          <w:lang w:eastAsia="tr-TR"/>
        </w:rPr>
        <w:drawing>
          <wp:inline distT="0" distB="0" distL="0" distR="0" wp14:anchorId="4269162C" wp14:editId="5484718C">
            <wp:extent cx="5762625" cy="2495550"/>
            <wp:effectExtent l="0" t="0" r="9525" b="0"/>
            <wp:docPr id="16" name="Resim 1" descr="ABD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T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495550"/>
                    </a:xfrm>
                    <a:prstGeom prst="rect">
                      <a:avLst/>
                    </a:prstGeom>
                    <a:noFill/>
                    <a:ln>
                      <a:noFill/>
                    </a:ln>
                  </pic:spPr>
                </pic:pic>
              </a:graphicData>
            </a:graphic>
          </wp:inline>
        </w:drawing>
      </w:r>
    </w:p>
    <w:p w:rsidR="00F17ED1" w:rsidRPr="00313B5C" w:rsidRDefault="00F17ED1" w:rsidP="00313B5C">
      <w:pPr>
        <w:ind w:firstLine="708"/>
        <w:jc w:val="both"/>
        <w:rPr>
          <w:rFonts w:ascii="Times New Roman" w:hAnsi="Times New Roman" w:cs="Times New Roman"/>
          <w:noProof/>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The World Bank, 2018</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Şekil 8’e göre iki ülke için de milli gelir yıllar itibariyle yükseliş göstermiştir. Ancak aradaki fark Amerika lehine gittikçe artmaktadır. </w:t>
      </w:r>
      <w:r w:rsidRPr="00313B5C">
        <w:rPr>
          <w:rFonts w:ascii="Times New Roman" w:hAnsi="Times New Roman" w:cs="Times New Roman"/>
          <w:sz w:val="24"/>
          <w:szCs w:val="24"/>
          <w:lang w:eastAsia="tr-TR"/>
        </w:rPr>
        <w:t>2017 yılı verilerine göre Amerika’da milli gelir 19,39 trilyon ABD Doları iken Türkiye’de 851,1 milyar ABD Doları olarak belirlenmiştir.</w:t>
      </w:r>
    </w:p>
    <w:p w:rsidR="00F17ED1" w:rsidRPr="00313B5C" w:rsidRDefault="00F17ED1" w:rsidP="00313B5C">
      <w:pPr>
        <w:ind w:firstLine="708"/>
        <w:jc w:val="both"/>
        <w:rPr>
          <w:rFonts w:ascii="Times New Roman" w:hAnsi="Times New Roman" w:cs="Times New Roman"/>
          <w:sz w:val="24"/>
          <w:szCs w:val="24"/>
        </w:rPr>
      </w:pPr>
      <w:bookmarkStart w:id="30" w:name="_Toc33364223"/>
      <w:r w:rsidRPr="00313B5C">
        <w:rPr>
          <w:rFonts w:ascii="Times New Roman" w:hAnsi="Times New Roman" w:cs="Times New Roman"/>
          <w:b/>
          <w:sz w:val="24"/>
          <w:szCs w:val="24"/>
        </w:rPr>
        <w:t xml:space="preserve">Tablo </w:t>
      </w:r>
      <w:r w:rsidRPr="00313B5C">
        <w:rPr>
          <w:rFonts w:ascii="Times New Roman" w:hAnsi="Times New Roman" w:cs="Times New Roman"/>
          <w:b/>
          <w:sz w:val="24"/>
          <w:szCs w:val="24"/>
        </w:rPr>
        <w:fldChar w:fldCharType="begin"/>
      </w:r>
      <w:r w:rsidRPr="00313B5C">
        <w:rPr>
          <w:rFonts w:ascii="Times New Roman" w:hAnsi="Times New Roman" w:cs="Times New Roman"/>
          <w:b/>
          <w:sz w:val="24"/>
          <w:szCs w:val="24"/>
        </w:rPr>
        <w:instrText xml:space="preserve"> SEQ Tablo \* ARABIC </w:instrText>
      </w:r>
      <w:r w:rsidRPr="00313B5C">
        <w:rPr>
          <w:rFonts w:ascii="Times New Roman" w:hAnsi="Times New Roman" w:cs="Times New Roman"/>
          <w:b/>
          <w:sz w:val="24"/>
          <w:szCs w:val="24"/>
        </w:rPr>
        <w:fldChar w:fldCharType="separate"/>
      </w:r>
      <w:r w:rsidRPr="00313B5C">
        <w:rPr>
          <w:rFonts w:ascii="Times New Roman" w:hAnsi="Times New Roman" w:cs="Times New Roman"/>
          <w:b/>
          <w:noProof/>
          <w:sz w:val="24"/>
          <w:szCs w:val="24"/>
        </w:rPr>
        <w:t>3</w:t>
      </w:r>
      <w:r w:rsidRPr="00313B5C">
        <w:rPr>
          <w:rFonts w:ascii="Times New Roman" w:hAnsi="Times New Roman" w:cs="Times New Roman"/>
          <w:b/>
          <w:sz w:val="24"/>
          <w:szCs w:val="24"/>
        </w:rPr>
        <w:fldChar w:fldCharType="end"/>
      </w:r>
      <w:r w:rsidRPr="00313B5C">
        <w:rPr>
          <w:rFonts w:ascii="Times New Roman" w:hAnsi="Times New Roman" w:cs="Times New Roman"/>
          <w:b/>
          <w:sz w:val="24"/>
          <w:szCs w:val="24"/>
        </w:rPr>
        <w:t>:</w:t>
      </w:r>
      <w:r w:rsidRPr="00313B5C">
        <w:rPr>
          <w:rFonts w:ascii="Times New Roman" w:hAnsi="Times New Roman" w:cs="Times New Roman"/>
          <w:sz w:val="24"/>
          <w:szCs w:val="24"/>
        </w:rPr>
        <w:t xml:space="preserve"> Toplam Hekim ve Hemşire Sayıları</w:t>
      </w:r>
      <w:bookmarkEnd w:id="30"/>
    </w:p>
    <w:tbl>
      <w:tblPr>
        <w:tblStyle w:val="KlavuzTablo1Ak-Vurgu11"/>
        <w:tblW w:w="9072" w:type="dxa"/>
        <w:tblInd w:w="108" w:type="dxa"/>
        <w:tblLook w:val="04A0" w:firstRow="1" w:lastRow="0" w:firstColumn="1" w:lastColumn="0" w:noHBand="0" w:noVBand="1"/>
      </w:tblPr>
      <w:tblGrid>
        <w:gridCol w:w="979"/>
        <w:gridCol w:w="1066"/>
        <w:gridCol w:w="996"/>
        <w:gridCol w:w="1043"/>
        <w:gridCol w:w="810"/>
        <w:gridCol w:w="1043"/>
        <w:gridCol w:w="1176"/>
        <w:gridCol w:w="1043"/>
        <w:gridCol w:w="916"/>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114" w:type="dxa"/>
            <w:vMerge w:val="restart"/>
            <w:tcBorders>
              <w:top w:val="single" w:sz="12" w:space="0" w:color="5B9BD5" w:themeColor="accent1"/>
              <w:left w:val="single" w:sz="12" w:space="0" w:color="5B9BD5" w:themeColor="accent1"/>
              <w:right w:val="single" w:sz="12" w:space="0" w:color="5B9BD5" w:themeColor="accent1"/>
              <w:tl2br w:val="single" w:sz="12" w:space="0" w:color="5B9BD5" w:themeColor="accent1"/>
            </w:tcBorders>
            <w:vAlign w:val="center"/>
          </w:tcPr>
          <w:p w:rsidR="00F17ED1" w:rsidRPr="00313B5C" w:rsidRDefault="00F17ED1" w:rsidP="00313B5C">
            <w:pPr>
              <w:jc w:val="both"/>
              <w:rPr>
                <w:rFonts w:ascii="Times New Roman" w:hAnsi="Times New Roman" w:cs="Times New Roman"/>
                <w:b w:val="0"/>
                <w:bCs w:val="0"/>
                <w:sz w:val="24"/>
                <w:szCs w:val="24"/>
              </w:rPr>
            </w:pPr>
            <w:r w:rsidRPr="00313B5C">
              <w:rPr>
                <w:rFonts w:ascii="Times New Roman" w:hAnsi="Times New Roman" w:cs="Times New Roman"/>
                <w:sz w:val="24"/>
                <w:szCs w:val="24"/>
              </w:rPr>
              <w:t xml:space="preserve">     Ülke</w:t>
            </w:r>
          </w:p>
          <w:p w:rsidR="00F17ED1" w:rsidRPr="00313B5C" w:rsidRDefault="00F17ED1" w:rsidP="00313B5C">
            <w:pPr>
              <w:jc w:val="both"/>
              <w:rPr>
                <w:rFonts w:ascii="Times New Roman" w:hAnsi="Times New Roman" w:cs="Times New Roman"/>
                <w:sz w:val="24"/>
                <w:szCs w:val="24"/>
              </w:rPr>
            </w:pP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Yıl</w:t>
            </w:r>
          </w:p>
        </w:tc>
        <w:tc>
          <w:tcPr>
            <w:tcW w:w="1077"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984"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36"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851"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92"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1150"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76"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992" w:type="dxa"/>
            <w:tcBorders>
              <w:top w:val="single" w:sz="12" w:space="0" w:color="5B9BD5" w:themeColor="accent1"/>
              <w:bottom w:val="single" w:sz="4" w:space="0" w:color="auto"/>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r>
      <w:tr w:rsidR="00F17ED1" w:rsidRPr="00313B5C" w:rsidTr="009F0079">
        <w:trPr>
          <w:trHeight w:val="289"/>
        </w:trPr>
        <w:tc>
          <w:tcPr>
            <w:cnfStyle w:val="001000000000" w:firstRow="0" w:lastRow="0" w:firstColumn="1" w:lastColumn="0" w:oddVBand="0" w:evenVBand="0" w:oddHBand="0" w:evenHBand="0" w:firstRowFirstColumn="0" w:firstRowLastColumn="0" w:lastRowFirstColumn="0" w:lastRowLastColumn="0"/>
            <w:tcW w:w="1114" w:type="dxa"/>
            <w:vMerge/>
            <w:tcBorders>
              <w:left w:val="single" w:sz="12" w:space="0" w:color="5B9BD5" w:themeColor="accent1"/>
              <w:bottom w:val="single" w:sz="12" w:space="0" w:color="5B9BD5" w:themeColor="accent1"/>
              <w:right w:val="single" w:sz="12" w:space="0" w:color="5B9BD5" w:themeColor="accent1"/>
              <w:tl2br w:val="single" w:sz="4" w:space="0" w:color="auto"/>
            </w:tcBorders>
          </w:tcPr>
          <w:p w:rsidR="00F17ED1" w:rsidRPr="00313B5C" w:rsidRDefault="00F17ED1" w:rsidP="00313B5C">
            <w:pPr>
              <w:jc w:val="both"/>
              <w:rPr>
                <w:rFonts w:ascii="Times New Roman" w:hAnsi="Times New Roman" w:cs="Times New Roman"/>
                <w:sz w:val="24"/>
                <w:szCs w:val="24"/>
              </w:rPr>
            </w:pPr>
          </w:p>
        </w:tc>
        <w:tc>
          <w:tcPr>
            <w:tcW w:w="206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Toplam Hekim Sayısı</w:t>
            </w:r>
          </w:p>
        </w:tc>
        <w:tc>
          <w:tcPr>
            <w:tcW w:w="1787"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1.000 Kişi Başına</w:t>
            </w:r>
          </w:p>
        </w:tc>
        <w:tc>
          <w:tcPr>
            <w:tcW w:w="2142"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Toplam Hemşire Sayısı</w:t>
            </w:r>
          </w:p>
        </w:tc>
        <w:tc>
          <w:tcPr>
            <w:tcW w:w="196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1.000 Kişi Başına</w:t>
            </w:r>
          </w:p>
        </w:tc>
      </w:tr>
      <w:tr w:rsidR="00F17ED1" w:rsidRPr="00313B5C" w:rsidTr="009F0079">
        <w:trPr>
          <w:trHeight w:val="412"/>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2010</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123.447</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794.862</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1,69</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2,57</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114.772</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3.385.310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1,57</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10,94</w:t>
            </w:r>
          </w:p>
        </w:tc>
      </w:tr>
      <w:tr w:rsidR="00F17ED1"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2011</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126.029</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809.492</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2,6</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124. 982</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3.453.710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1,68</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11,08</w:t>
            </w:r>
          </w:p>
        </w:tc>
      </w:tr>
      <w:tr w:rsidR="00F17ED1"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2012</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129.772</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826.001</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1,73</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2,63</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134.906</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3.498.450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1,79</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11,14</w:t>
            </w:r>
          </w:p>
        </w:tc>
      </w:tr>
      <w:tr w:rsidR="00F17ED1" w:rsidRPr="00313B5C" w:rsidTr="009F0079">
        <w:trPr>
          <w:trHeight w:val="412"/>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2013</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133.775</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854.698</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1,76</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139.544</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3.521.350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1,83</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11,14</w:t>
            </w:r>
          </w:p>
        </w:tc>
      </w:tr>
      <w:tr w:rsidR="00F17ED1"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2014</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135.616</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864.721</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1,76</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2,71</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142.432</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3.558.920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1,85</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11,17</w:t>
            </w:r>
          </w:p>
        </w:tc>
      </w:tr>
      <w:tr w:rsidR="00F17ED1"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2015</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141.259</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870.900</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1,81</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2,71</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152.803</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3.626.060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1,95</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11,29</w:t>
            </w:r>
          </w:p>
        </w:tc>
      </w:tr>
      <w:tr w:rsidR="00F17ED1"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2016</w:t>
            </w:r>
          </w:p>
        </w:tc>
        <w:tc>
          <w:tcPr>
            <w:tcW w:w="1077"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144.827</w:t>
            </w:r>
          </w:p>
        </w:tc>
        <w:tc>
          <w:tcPr>
            <w:tcW w:w="984"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878.962</w:t>
            </w:r>
          </w:p>
        </w:tc>
        <w:tc>
          <w:tcPr>
            <w:tcW w:w="93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1,83</w:t>
            </w:r>
          </w:p>
        </w:tc>
        <w:tc>
          <w:tcPr>
            <w:tcW w:w="851"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2,72</w:t>
            </w:r>
          </w:p>
        </w:tc>
        <w:tc>
          <w:tcPr>
            <w:tcW w:w="992"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152.952</w:t>
            </w:r>
          </w:p>
        </w:tc>
        <w:tc>
          <w:tcPr>
            <w:tcW w:w="1150"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3.755.940</w:t>
            </w:r>
          </w:p>
        </w:tc>
        <w:tc>
          <w:tcPr>
            <w:tcW w:w="976" w:type="dxa"/>
            <w:tcBorders>
              <w:lef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1,93</w:t>
            </w:r>
          </w:p>
        </w:tc>
        <w:tc>
          <w:tcPr>
            <w:tcW w:w="992" w:type="dxa"/>
            <w:tcBorders>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11,61</w:t>
            </w:r>
          </w:p>
        </w:tc>
      </w:tr>
      <w:tr w:rsidR="00313B5C" w:rsidRPr="00313B5C" w:rsidTr="009F0079">
        <w:trPr>
          <w:trHeight w:val="398"/>
        </w:trPr>
        <w:tc>
          <w:tcPr>
            <w:cnfStyle w:val="001000000000" w:firstRow="0" w:lastRow="0" w:firstColumn="1" w:lastColumn="0" w:oddVBand="0" w:evenVBand="0" w:oddHBand="0" w:evenHBand="0" w:firstRowFirstColumn="0" w:firstRowLastColumn="0" w:lastRowFirstColumn="0" w:lastRowLastColumn="0"/>
            <w:tcW w:w="1114" w:type="dxa"/>
            <w:tcBorders>
              <w:left w:val="single" w:sz="12" w:space="0" w:color="5B9BD5" w:themeColor="accent1"/>
              <w:bottom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2017</w:t>
            </w:r>
          </w:p>
        </w:tc>
        <w:tc>
          <w:tcPr>
            <w:tcW w:w="1077" w:type="dxa"/>
            <w:tcBorders>
              <w:left w:val="single" w:sz="12" w:space="0" w:color="5B9BD5" w:themeColor="accent1"/>
              <w:bottom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149.997</w:t>
            </w:r>
          </w:p>
        </w:tc>
        <w:tc>
          <w:tcPr>
            <w:tcW w:w="984" w:type="dxa"/>
            <w:tcBorders>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891.734</w:t>
            </w:r>
          </w:p>
        </w:tc>
        <w:tc>
          <w:tcPr>
            <w:tcW w:w="936" w:type="dxa"/>
            <w:tcBorders>
              <w:left w:val="single" w:sz="12" w:space="0" w:color="5B9BD5" w:themeColor="accent1"/>
              <w:bottom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1,87</w:t>
            </w:r>
          </w:p>
        </w:tc>
        <w:tc>
          <w:tcPr>
            <w:tcW w:w="851" w:type="dxa"/>
            <w:tcBorders>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2,74</w:t>
            </w:r>
          </w:p>
        </w:tc>
        <w:tc>
          <w:tcPr>
            <w:tcW w:w="992" w:type="dxa"/>
            <w:tcBorders>
              <w:left w:val="single" w:sz="12" w:space="0" w:color="5B9BD5" w:themeColor="accent1"/>
              <w:bottom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166.142</w:t>
            </w:r>
          </w:p>
        </w:tc>
        <w:tc>
          <w:tcPr>
            <w:tcW w:w="1150" w:type="dxa"/>
            <w:tcBorders>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3.824.970</w:t>
            </w:r>
          </w:p>
        </w:tc>
        <w:tc>
          <w:tcPr>
            <w:tcW w:w="976" w:type="dxa"/>
            <w:tcBorders>
              <w:left w:val="single" w:sz="12" w:space="0" w:color="5B9BD5" w:themeColor="accent1"/>
              <w:bottom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2,07</w:t>
            </w:r>
          </w:p>
        </w:tc>
        <w:tc>
          <w:tcPr>
            <w:tcW w:w="992" w:type="dxa"/>
            <w:tcBorders>
              <w:bottom w:val="single" w:sz="12" w:space="0" w:color="5B9BD5" w:themeColor="accent1"/>
              <w:right w:val="single" w:sz="12" w:space="0" w:color="5B9BD5" w:themeColor="accent1"/>
            </w:tcBorders>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11,74</w:t>
            </w:r>
          </w:p>
        </w:tc>
      </w:tr>
    </w:tbl>
    <w:p w:rsidR="00F17ED1" w:rsidRPr="00313B5C" w:rsidRDefault="00F17ED1" w:rsidP="00313B5C">
      <w:pPr>
        <w:ind w:firstLine="708"/>
        <w:jc w:val="both"/>
        <w:rPr>
          <w:rFonts w:ascii="Times New Roman" w:hAnsi="Times New Roman" w:cs="Times New Roman"/>
          <w:noProof/>
          <w:sz w:val="24"/>
          <w:szCs w:val="24"/>
        </w:rPr>
      </w:pPr>
      <w:r w:rsidRPr="00313B5C">
        <w:rPr>
          <w:rFonts w:ascii="Times New Roman" w:hAnsi="Times New Roman" w:cs="Times New Roman"/>
          <w:b/>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Sağlık hizmetlerine olan talebin artması sebebiyle her iki ülke açısından hekim ve hemşire oranlarında artışlar gözlenmektedir. Amerika’da daha yüksek olmasına karşın 1.000 kişi başına düşen hekim sayıları arasında belirgin bir fark görülmezken 1.000 kişi başına düşen hemşire sayılarının Türkiye’ye oranla yaklaşık beş kat daha fazla olduğu görülmektedir.</w:t>
      </w:r>
    </w:p>
    <w:p w:rsidR="00F17ED1" w:rsidRPr="00313B5C" w:rsidRDefault="00F17ED1" w:rsidP="00313B5C">
      <w:pPr>
        <w:ind w:firstLine="708"/>
        <w:jc w:val="both"/>
        <w:rPr>
          <w:rFonts w:ascii="Times New Roman" w:hAnsi="Times New Roman" w:cs="Times New Roman"/>
          <w:sz w:val="24"/>
          <w:szCs w:val="24"/>
        </w:rPr>
      </w:pPr>
      <w:bookmarkStart w:id="31" w:name="_Toc33364224"/>
      <w:r w:rsidRPr="00313B5C">
        <w:rPr>
          <w:rFonts w:ascii="Times New Roman" w:hAnsi="Times New Roman" w:cs="Times New Roman"/>
          <w:b/>
          <w:bCs/>
          <w:sz w:val="24"/>
          <w:szCs w:val="24"/>
        </w:rPr>
        <w:t xml:space="preserve">Tablo </w:t>
      </w:r>
      <w:r w:rsidRPr="00313B5C">
        <w:rPr>
          <w:rFonts w:ascii="Times New Roman" w:hAnsi="Times New Roman" w:cs="Times New Roman"/>
          <w:b/>
          <w:bCs/>
          <w:sz w:val="24"/>
          <w:szCs w:val="24"/>
        </w:rPr>
        <w:fldChar w:fldCharType="begin"/>
      </w:r>
      <w:r w:rsidRPr="00313B5C">
        <w:rPr>
          <w:rFonts w:ascii="Times New Roman" w:hAnsi="Times New Roman" w:cs="Times New Roman"/>
          <w:b/>
          <w:bCs/>
          <w:sz w:val="24"/>
          <w:szCs w:val="24"/>
        </w:rPr>
        <w:instrText xml:space="preserve"> SEQ Tablo \* ARABIC </w:instrText>
      </w:r>
      <w:r w:rsidRPr="00313B5C">
        <w:rPr>
          <w:rFonts w:ascii="Times New Roman" w:hAnsi="Times New Roman" w:cs="Times New Roman"/>
          <w:b/>
          <w:bCs/>
          <w:sz w:val="24"/>
          <w:szCs w:val="24"/>
        </w:rPr>
        <w:fldChar w:fldCharType="separate"/>
      </w:r>
      <w:r w:rsidRPr="00313B5C">
        <w:rPr>
          <w:rFonts w:ascii="Times New Roman" w:hAnsi="Times New Roman" w:cs="Times New Roman"/>
          <w:b/>
          <w:bCs/>
          <w:noProof/>
          <w:sz w:val="24"/>
          <w:szCs w:val="24"/>
        </w:rPr>
        <w:t>4</w:t>
      </w:r>
      <w:r w:rsidRPr="00313B5C">
        <w:rPr>
          <w:rFonts w:ascii="Times New Roman" w:hAnsi="Times New Roman" w:cs="Times New Roman"/>
          <w:b/>
          <w:bCs/>
          <w:sz w:val="24"/>
          <w:szCs w:val="24"/>
        </w:rPr>
        <w:fldChar w:fldCharType="end"/>
      </w:r>
      <w:r w:rsidRPr="00313B5C">
        <w:rPr>
          <w:rFonts w:ascii="Times New Roman" w:hAnsi="Times New Roman" w:cs="Times New Roman"/>
          <w:b/>
          <w:bCs/>
          <w:sz w:val="24"/>
          <w:szCs w:val="24"/>
        </w:rPr>
        <w:t>:</w:t>
      </w:r>
      <w:r w:rsidRPr="00313B5C">
        <w:rPr>
          <w:rFonts w:ascii="Times New Roman" w:hAnsi="Times New Roman" w:cs="Times New Roman"/>
          <w:sz w:val="24"/>
          <w:szCs w:val="24"/>
        </w:rPr>
        <w:t xml:space="preserve"> Hastane Yatak Sayıları</w:t>
      </w:r>
      <w:bookmarkEnd w:id="31"/>
    </w:p>
    <w:tbl>
      <w:tblPr>
        <w:tblStyle w:val="KlavuzTablo1Ak-Vurgu11"/>
        <w:tblW w:w="9179" w:type="dxa"/>
        <w:tblLook w:val="04A0" w:firstRow="1" w:lastRow="0" w:firstColumn="1" w:lastColumn="0" w:noHBand="0" w:noVBand="1"/>
      </w:tblPr>
      <w:tblGrid>
        <w:gridCol w:w="696"/>
        <w:gridCol w:w="1043"/>
        <w:gridCol w:w="996"/>
        <w:gridCol w:w="1043"/>
        <w:gridCol w:w="996"/>
        <w:gridCol w:w="1043"/>
        <w:gridCol w:w="723"/>
        <w:gridCol w:w="1043"/>
        <w:gridCol w:w="996"/>
        <w:gridCol w:w="1043"/>
        <w:gridCol w:w="723"/>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28" w:type="dxa"/>
            <w:vMerge w:val="restart"/>
            <w:tcBorders>
              <w:top w:val="single" w:sz="12" w:space="0" w:color="5B9BD5" w:themeColor="accent1"/>
              <w:left w:val="single" w:sz="12" w:space="0" w:color="5B9BD5" w:themeColor="accent1"/>
              <w:right w:val="single" w:sz="12" w:space="0" w:color="5B9BD5" w:themeColor="accent1"/>
              <w:tl2br w:val="single" w:sz="12" w:space="0" w:color="5B9BD5" w:themeColor="accent1"/>
            </w:tcBorders>
          </w:tcPr>
          <w:p w:rsidR="00F17ED1" w:rsidRPr="00313B5C" w:rsidRDefault="00F17ED1" w:rsidP="00313B5C">
            <w:pPr>
              <w:jc w:val="both"/>
              <w:rPr>
                <w:rFonts w:ascii="Times New Roman" w:hAnsi="Times New Roman" w:cs="Times New Roman"/>
                <w:b w:val="0"/>
                <w:bCs w:val="0"/>
                <w:sz w:val="24"/>
                <w:szCs w:val="24"/>
              </w:rPr>
            </w:pPr>
            <w:r w:rsidRPr="00313B5C">
              <w:rPr>
                <w:rFonts w:ascii="Times New Roman" w:hAnsi="Times New Roman" w:cs="Times New Roman"/>
                <w:sz w:val="24"/>
                <w:szCs w:val="24"/>
              </w:rPr>
              <w:t>Ülke</w:t>
            </w:r>
          </w:p>
          <w:p w:rsidR="00F17ED1" w:rsidRPr="00313B5C" w:rsidRDefault="00F17ED1" w:rsidP="00313B5C">
            <w:pPr>
              <w:jc w:val="both"/>
              <w:rPr>
                <w:rFonts w:ascii="Times New Roman" w:hAnsi="Times New Roman" w:cs="Times New Roman"/>
                <w:b w:val="0"/>
                <w:bCs w:val="0"/>
                <w:sz w:val="24"/>
                <w:szCs w:val="24"/>
              </w:rPr>
            </w:pP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Yıl</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lastRenderedPageBreak/>
              <w:t>Türkiye</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654"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Türkiye</w:t>
            </w:r>
          </w:p>
        </w:tc>
        <w:tc>
          <w:tcPr>
            <w:tcW w:w="654"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ABD</w:t>
            </w:r>
          </w:p>
        </w:tc>
      </w:tr>
      <w:tr w:rsidR="00F17ED1" w:rsidRPr="00313B5C" w:rsidTr="009F0079">
        <w:trPr>
          <w:trHeight w:val="365"/>
        </w:trPr>
        <w:tc>
          <w:tcPr>
            <w:cnfStyle w:val="001000000000" w:firstRow="0" w:lastRow="0" w:firstColumn="1" w:lastColumn="0" w:oddVBand="0" w:evenVBand="0" w:oddHBand="0" w:evenHBand="0" w:firstRowFirstColumn="0" w:firstRowLastColumn="0" w:lastRowFirstColumn="0" w:lastRowLastColumn="0"/>
            <w:tcW w:w="628" w:type="dxa"/>
            <w:vMerge/>
            <w:tcBorders>
              <w:left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p>
        </w:tc>
        <w:tc>
          <w:tcPr>
            <w:tcW w:w="1785" w:type="dxa"/>
            <w:gridSpan w:val="2"/>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Toplam Yatak Sayısı</w:t>
            </w:r>
          </w:p>
        </w:tc>
        <w:tc>
          <w:tcPr>
            <w:tcW w:w="1785" w:type="dxa"/>
            <w:gridSpan w:val="2"/>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Kamu Hastaneleri</w:t>
            </w:r>
          </w:p>
        </w:tc>
        <w:tc>
          <w:tcPr>
            <w:tcW w:w="1598" w:type="dxa"/>
            <w:gridSpan w:val="2"/>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1.000 Kişi Başına</w:t>
            </w:r>
          </w:p>
        </w:tc>
        <w:tc>
          <w:tcPr>
            <w:tcW w:w="1785" w:type="dxa"/>
            <w:gridSpan w:val="2"/>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Özel Hastaneler</w:t>
            </w:r>
          </w:p>
        </w:tc>
        <w:tc>
          <w:tcPr>
            <w:tcW w:w="1598" w:type="dxa"/>
            <w:gridSpan w:val="2"/>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1.000 Kişi Başına</w:t>
            </w:r>
          </w:p>
        </w:tc>
      </w:tr>
      <w:tr w:rsidR="00F17ED1"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lastRenderedPageBreak/>
              <w:t>2010</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200.239</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941.995</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168.661</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231.177</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2,31</w:t>
            </w:r>
          </w:p>
        </w:tc>
        <w:tc>
          <w:tcPr>
            <w:tcW w:w="654"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0,75</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31.578</w:t>
            </w:r>
          </w:p>
        </w:tc>
        <w:tc>
          <w:tcPr>
            <w:tcW w:w="8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142.208</w:t>
            </w:r>
          </w:p>
        </w:tc>
        <w:tc>
          <w:tcPr>
            <w:tcW w:w="943"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0,43</w:t>
            </w:r>
          </w:p>
        </w:tc>
        <w:tc>
          <w:tcPr>
            <w:tcW w:w="654"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0,46</w:t>
            </w:r>
          </w:p>
        </w:tc>
      </w:tr>
      <w:tr w:rsidR="00313B5C"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2011</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194.504</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924.333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159.606</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217.751</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2,15</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0,7</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34.898</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145.683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0,47</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0,47</w:t>
            </w:r>
          </w:p>
        </w:tc>
      </w:tr>
      <w:tr w:rsidR="00313B5C" w:rsidRPr="00313B5C" w:rsidTr="009F0079">
        <w:trPr>
          <w:trHeight w:val="365"/>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2012</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200.072</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920.829</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161.058</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212.308</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2,14</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0,68</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39.014</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151.670</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0,52</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0,48</w:t>
            </w:r>
          </w:p>
        </w:tc>
      </w:tr>
      <w:tr w:rsidR="00313B5C"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202.031</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914.513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160.594</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207.914</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2,11</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0,66</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41.437</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150.968</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0,54</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0,48</w:t>
            </w:r>
          </w:p>
        </w:tc>
      </w:tr>
      <w:tr w:rsidR="00313B5C"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2014</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206.836</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902.202</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162.769</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203.303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2,11</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0,64</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44.067</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152.526</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0,57</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0,48</w:t>
            </w:r>
          </w:p>
        </w:tc>
      </w:tr>
      <w:tr w:rsidR="00313B5C"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2015</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209.648</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897.961</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162.126</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203.750</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2,07</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47.522</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152.043</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0,61</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0,47</w:t>
            </w:r>
          </w:p>
        </w:tc>
      </w:tr>
      <w:tr w:rsidR="00313B5C" w:rsidRPr="00313B5C" w:rsidTr="009F0079">
        <w:trPr>
          <w:trHeight w:val="351"/>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2016</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217.771</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894.574</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167.074</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197.658</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2,11</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0,61</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50.697</w:t>
            </w:r>
          </w:p>
        </w:tc>
        <w:tc>
          <w:tcPr>
            <w:tcW w:w="842"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152.049</w:t>
            </w:r>
          </w:p>
        </w:tc>
        <w:tc>
          <w:tcPr>
            <w:tcW w:w="943"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0,64</w:t>
            </w:r>
          </w:p>
        </w:tc>
        <w:tc>
          <w:tcPr>
            <w:tcW w:w="654"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0,47</w:t>
            </w:r>
          </w:p>
        </w:tc>
      </w:tr>
      <w:tr w:rsidR="00F17ED1" w:rsidRPr="00313B5C" w:rsidTr="009F0079">
        <w:trPr>
          <w:trHeight w:val="365"/>
        </w:trPr>
        <w:tc>
          <w:tcPr>
            <w:cnfStyle w:val="001000000000" w:firstRow="0" w:lastRow="0" w:firstColumn="1" w:lastColumn="0" w:oddVBand="0" w:evenVBand="0" w:oddHBand="0" w:evenHBand="0" w:firstRowFirstColumn="0" w:firstRowLastColumn="0" w:lastRowFirstColumn="0" w:lastRowLastColumn="0"/>
            <w:tcW w:w="628"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2017</w:t>
            </w:r>
          </w:p>
        </w:tc>
        <w:tc>
          <w:tcPr>
            <w:tcW w:w="943"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225.863</w:t>
            </w:r>
          </w:p>
        </w:tc>
        <w:tc>
          <w:tcPr>
            <w:tcW w:w="8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43"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172.310</w:t>
            </w:r>
          </w:p>
        </w:tc>
        <w:tc>
          <w:tcPr>
            <w:tcW w:w="8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43"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2,15</w:t>
            </w:r>
          </w:p>
        </w:tc>
        <w:tc>
          <w:tcPr>
            <w:tcW w:w="654"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43"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53.553</w:t>
            </w:r>
          </w:p>
        </w:tc>
        <w:tc>
          <w:tcPr>
            <w:tcW w:w="8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43"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0,67</w:t>
            </w:r>
          </w:p>
        </w:tc>
        <w:tc>
          <w:tcPr>
            <w:tcW w:w="654"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r>
    </w:tbl>
    <w:p w:rsidR="00F17ED1" w:rsidRPr="00313B5C" w:rsidRDefault="00F17ED1" w:rsidP="00313B5C">
      <w:pPr>
        <w:jc w:val="both"/>
        <w:rPr>
          <w:rFonts w:ascii="Times New Roman" w:hAnsi="Times New Roman" w:cs="Times New Roman"/>
          <w:b/>
          <w:bCs/>
          <w:sz w:val="24"/>
          <w:szCs w:val="24"/>
        </w:rPr>
      </w:pPr>
      <w:r w:rsidRPr="00313B5C">
        <w:rPr>
          <w:rFonts w:ascii="Times New Roman" w:hAnsi="Times New Roman" w:cs="Times New Roman"/>
          <w:sz w:val="24"/>
          <w:szCs w:val="24"/>
        </w:rPr>
        <w:tab/>
      </w:r>
      <w:r w:rsidRPr="00313B5C">
        <w:rPr>
          <w:rFonts w:ascii="Times New Roman" w:hAnsi="Times New Roman" w:cs="Times New Roman"/>
          <w:b/>
          <w:bCs/>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Toplam yatak sayısı açısından iki ülke için OECD verileri incelendiğinde ABD’de yatak sayılarında sürekli bir azalma eğilimi olduğunun söylenmesi mümkündür. Türkiye’de ise 2011 yılında bir düşüş görülmesine rağmen sonraki yıllarda sürekli şekilde artış eğilimindedir. Her iki ülke için kamu hastanelerindeki yatak sayıları özel hastanelere oranla daha yüksektir (Tablo 3).</w:t>
      </w:r>
    </w:p>
    <w:p w:rsidR="00F17ED1" w:rsidRPr="00313B5C" w:rsidRDefault="00F17ED1" w:rsidP="00313B5C">
      <w:pPr>
        <w:ind w:firstLine="708"/>
        <w:jc w:val="both"/>
        <w:rPr>
          <w:rFonts w:ascii="Times New Roman" w:hAnsi="Times New Roman" w:cs="Times New Roman"/>
          <w:sz w:val="24"/>
          <w:szCs w:val="24"/>
        </w:rPr>
      </w:pPr>
      <w:bookmarkStart w:id="32" w:name="_Toc33364225"/>
      <w:r w:rsidRPr="00313B5C">
        <w:rPr>
          <w:rFonts w:ascii="Times New Roman" w:hAnsi="Times New Roman" w:cs="Times New Roman"/>
          <w:b/>
          <w:bCs/>
          <w:sz w:val="24"/>
          <w:szCs w:val="24"/>
        </w:rPr>
        <w:t xml:space="preserve">Tablo </w:t>
      </w:r>
      <w:r w:rsidRPr="00313B5C">
        <w:rPr>
          <w:rFonts w:ascii="Times New Roman" w:hAnsi="Times New Roman" w:cs="Times New Roman"/>
          <w:b/>
          <w:bCs/>
          <w:sz w:val="24"/>
          <w:szCs w:val="24"/>
        </w:rPr>
        <w:fldChar w:fldCharType="begin"/>
      </w:r>
      <w:r w:rsidRPr="00313B5C">
        <w:rPr>
          <w:rFonts w:ascii="Times New Roman" w:hAnsi="Times New Roman" w:cs="Times New Roman"/>
          <w:b/>
          <w:bCs/>
          <w:sz w:val="24"/>
          <w:szCs w:val="24"/>
        </w:rPr>
        <w:instrText xml:space="preserve"> SEQ Tablo \* ARABIC </w:instrText>
      </w:r>
      <w:r w:rsidRPr="00313B5C">
        <w:rPr>
          <w:rFonts w:ascii="Times New Roman" w:hAnsi="Times New Roman" w:cs="Times New Roman"/>
          <w:b/>
          <w:bCs/>
          <w:sz w:val="24"/>
          <w:szCs w:val="24"/>
        </w:rPr>
        <w:fldChar w:fldCharType="separate"/>
      </w:r>
      <w:r w:rsidRPr="00313B5C">
        <w:rPr>
          <w:rFonts w:ascii="Times New Roman" w:hAnsi="Times New Roman" w:cs="Times New Roman"/>
          <w:b/>
          <w:bCs/>
          <w:noProof/>
          <w:sz w:val="24"/>
          <w:szCs w:val="24"/>
        </w:rPr>
        <w:t>5</w:t>
      </w:r>
      <w:r w:rsidRPr="00313B5C">
        <w:rPr>
          <w:rFonts w:ascii="Times New Roman" w:hAnsi="Times New Roman" w:cs="Times New Roman"/>
          <w:b/>
          <w:bCs/>
          <w:sz w:val="24"/>
          <w:szCs w:val="24"/>
        </w:rPr>
        <w:fldChar w:fldCharType="end"/>
      </w:r>
      <w:r w:rsidRPr="00313B5C">
        <w:rPr>
          <w:rFonts w:ascii="Times New Roman" w:hAnsi="Times New Roman" w:cs="Times New Roman"/>
          <w:b/>
          <w:bCs/>
          <w:sz w:val="24"/>
          <w:szCs w:val="24"/>
        </w:rPr>
        <w:t>:</w:t>
      </w:r>
      <w:r w:rsidRPr="00313B5C">
        <w:rPr>
          <w:rFonts w:ascii="Times New Roman" w:hAnsi="Times New Roman" w:cs="Times New Roman"/>
          <w:sz w:val="24"/>
          <w:szCs w:val="24"/>
        </w:rPr>
        <w:t xml:space="preserve"> Toplam Sağlık Harcamalarının </w:t>
      </w:r>
      <w:proofErr w:type="spellStart"/>
      <w:r w:rsidRPr="00313B5C">
        <w:rPr>
          <w:rFonts w:ascii="Times New Roman" w:hAnsi="Times New Roman" w:cs="Times New Roman"/>
          <w:sz w:val="24"/>
          <w:szCs w:val="24"/>
        </w:rPr>
        <w:t>GSYİH'ye</w:t>
      </w:r>
      <w:proofErr w:type="spellEnd"/>
      <w:r w:rsidRPr="00313B5C">
        <w:rPr>
          <w:rFonts w:ascii="Times New Roman" w:hAnsi="Times New Roman" w:cs="Times New Roman"/>
          <w:sz w:val="24"/>
          <w:szCs w:val="24"/>
        </w:rPr>
        <w:t xml:space="preserve"> Oranı (%)</w:t>
      </w:r>
      <w:bookmarkEnd w:id="32"/>
    </w:p>
    <w:tbl>
      <w:tblPr>
        <w:tblStyle w:val="KlavuzTablo1Ak-Vurgu11"/>
        <w:tblW w:w="9293" w:type="dxa"/>
        <w:tblInd w:w="-34" w:type="dxa"/>
        <w:tblLook w:val="04A0" w:firstRow="1" w:lastRow="0" w:firstColumn="1" w:lastColumn="0" w:noHBand="0" w:noVBand="1"/>
      </w:tblPr>
      <w:tblGrid>
        <w:gridCol w:w="1175"/>
        <w:gridCol w:w="1374"/>
        <w:gridCol w:w="824"/>
        <w:gridCol w:w="825"/>
        <w:gridCol w:w="825"/>
        <w:gridCol w:w="826"/>
        <w:gridCol w:w="826"/>
        <w:gridCol w:w="826"/>
        <w:gridCol w:w="826"/>
        <w:gridCol w:w="966"/>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549" w:type="dxa"/>
            <w:gridSpan w:val="2"/>
            <w:tcBorders>
              <w:top w:val="nil"/>
              <w:left w:val="nil"/>
              <w:bottom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p>
        </w:tc>
        <w:tc>
          <w:tcPr>
            <w:tcW w:w="824"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2010</w:t>
            </w:r>
          </w:p>
        </w:tc>
        <w:tc>
          <w:tcPr>
            <w:tcW w:w="825"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2011</w:t>
            </w:r>
          </w:p>
        </w:tc>
        <w:tc>
          <w:tcPr>
            <w:tcW w:w="825"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2012</w:t>
            </w:r>
          </w:p>
        </w:tc>
        <w:tc>
          <w:tcPr>
            <w:tcW w:w="826"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2013</w:t>
            </w:r>
          </w:p>
        </w:tc>
        <w:tc>
          <w:tcPr>
            <w:tcW w:w="826"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2014</w:t>
            </w:r>
          </w:p>
        </w:tc>
        <w:tc>
          <w:tcPr>
            <w:tcW w:w="826"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2015</w:t>
            </w:r>
          </w:p>
        </w:tc>
        <w:tc>
          <w:tcPr>
            <w:tcW w:w="826"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2016</w:t>
            </w:r>
          </w:p>
        </w:tc>
        <w:tc>
          <w:tcPr>
            <w:tcW w:w="966"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2017</w:t>
            </w:r>
          </w:p>
        </w:tc>
      </w:tr>
      <w:tr w:rsidR="00F17ED1" w:rsidRPr="00313B5C" w:rsidTr="009F0079">
        <w:trPr>
          <w:trHeight w:val="286"/>
        </w:trPr>
        <w:tc>
          <w:tcPr>
            <w:cnfStyle w:val="001000000000" w:firstRow="0" w:lastRow="0" w:firstColumn="1" w:lastColumn="0" w:oddVBand="0" w:evenVBand="0" w:oddHBand="0" w:evenHBand="0" w:firstRowFirstColumn="0" w:firstRowLastColumn="0" w:lastRowFirstColumn="0" w:lastRowLastColumn="0"/>
            <w:tcW w:w="117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Türkiye</w:t>
            </w:r>
          </w:p>
        </w:tc>
        <w:tc>
          <w:tcPr>
            <w:tcW w:w="1374"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Toplam</w:t>
            </w:r>
          </w:p>
        </w:tc>
        <w:tc>
          <w:tcPr>
            <w:tcW w:w="824"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5,1</w:t>
            </w:r>
          </w:p>
        </w:tc>
        <w:tc>
          <w:tcPr>
            <w:tcW w:w="825"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4,7</w:t>
            </w:r>
          </w:p>
        </w:tc>
        <w:tc>
          <w:tcPr>
            <w:tcW w:w="825"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4,5</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4,4</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4,3</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4,1</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4,3</w:t>
            </w:r>
          </w:p>
        </w:tc>
        <w:tc>
          <w:tcPr>
            <w:tcW w:w="966"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4,2</w:t>
            </w:r>
          </w:p>
        </w:tc>
      </w:tr>
      <w:tr w:rsidR="00F17ED1" w:rsidRPr="00313B5C" w:rsidTr="009F0079">
        <w:trPr>
          <w:trHeight w:val="267"/>
        </w:trPr>
        <w:tc>
          <w:tcPr>
            <w:cnfStyle w:val="001000000000" w:firstRow="0" w:lastRow="0" w:firstColumn="1" w:lastColumn="0" w:oddVBand="0" w:evenVBand="0" w:oddHBand="0" w:evenHBand="0" w:firstRowFirstColumn="0" w:firstRowLastColumn="0" w:lastRowFirstColumn="0" w:lastRowLastColumn="0"/>
            <w:tcW w:w="1175" w:type="dxa"/>
            <w:vMerge/>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374"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Kamu</w:t>
            </w:r>
          </w:p>
        </w:tc>
        <w:tc>
          <w:tcPr>
            <w:tcW w:w="824"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3,9</w:t>
            </w:r>
          </w:p>
        </w:tc>
        <w:tc>
          <w:tcPr>
            <w:tcW w:w="825"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w:t>
            </w:r>
          </w:p>
        </w:tc>
        <w:tc>
          <w:tcPr>
            <w:tcW w:w="825"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w:t>
            </w:r>
          </w:p>
        </w:tc>
        <w:tc>
          <w:tcPr>
            <w:tcW w:w="826"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w:t>
            </w:r>
          </w:p>
        </w:tc>
        <w:tc>
          <w:tcPr>
            <w:tcW w:w="826"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w:t>
            </w:r>
          </w:p>
        </w:tc>
        <w:tc>
          <w:tcPr>
            <w:tcW w:w="826"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3,2</w:t>
            </w:r>
          </w:p>
        </w:tc>
        <w:tc>
          <w:tcPr>
            <w:tcW w:w="826"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w:t>
            </w:r>
          </w:p>
        </w:tc>
        <w:tc>
          <w:tcPr>
            <w:tcW w:w="966"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3,3</w:t>
            </w:r>
          </w:p>
        </w:tc>
      </w:tr>
      <w:tr w:rsidR="00F17ED1" w:rsidRPr="00313B5C" w:rsidTr="009F0079">
        <w:trPr>
          <w:trHeight w:val="342"/>
        </w:trPr>
        <w:tc>
          <w:tcPr>
            <w:cnfStyle w:val="001000000000" w:firstRow="0" w:lastRow="0" w:firstColumn="1" w:lastColumn="0" w:oddVBand="0" w:evenVBand="0" w:oddHBand="0" w:evenHBand="0" w:firstRowFirstColumn="0" w:firstRowLastColumn="0" w:lastRowFirstColumn="0" w:lastRowLastColumn="0"/>
            <w:tcW w:w="117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ABD</w:t>
            </w:r>
          </w:p>
        </w:tc>
        <w:tc>
          <w:tcPr>
            <w:tcW w:w="1374"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Toplam</w:t>
            </w:r>
          </w:p>
        </w:tc>
        <w:tc>
          <w:tcPr>
            <w:tcW w:w="824"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16,4</w:t>
            </w:r>
          </w:p>
        </w:tc>
        <w:tc>
          <w:tcPr>
            <w:tcW w:w="825"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16,4</w:t>
            </w:r>
          </w:p>
        </w:tc>
        <w:tc>
          <w:tcPr>
            <w:tcW w:w="825"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16,3</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16,3</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16,4</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16,7</w:t>
            </w:r>
          </w:p>
        </w:tc>
        <w:tc>
          <w:tcPr>
            <w:tcW w:w="826"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17,1</w:t>
            </w:r>
          </w:p>
        </w:tc>
        <w:tc>
          <w:tcPr>
            <w:tcW w:w="966"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17,1</w:t>
            </w:r>
          </w:p>
        </w:tc>
      </w:tr>
      <w:tr w:rsidR="00F17ED1" w:rsidRPr="00313B5C" w:rsidTr="009F0079">
        <w:trPr>
          <w:trHeight w:val="292"/>
        </w:trPr>
        <w:tc>
          <w:tcPr>
            <w:cnfStyle w:val="001000000000" w:firstRow="0" w:lastRow="0" w:firstColumn="1" w:lastColumn="0" w:oddVBand="0" w:evenVBand="0" w:oddHBand="0" w:evenHBand="0" w:firstRowFirstColumn="0" w:firstRowLastColumn="0" w:lastRowFirstColumn="0" w:lastRowLastColumn="0"/>
            <w:tcW w:w="117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374"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Kamu</w:t>
            </w:r>
          </w:p>
        </w:tc>
        <w:tc>
          <w:tcPr>
            <w:tcW w:w="824"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7,9</w:t>
            </w:r>
          </w:p>
        </w:tc>
        <w:tc>
          <w:tcPr>
            <w:tcW w:w="825"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7,9</w:t>
            </w:r>
          </w:p>
        </w:tc>
        <w:tc>
          <w:tcPr>
            <w:tcW w:w="825"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7,9</w:t>
            </w:r>
          </w:p>
        </w:tc>
        <w:tc>
          <w:tcPr>
            <w:tcW w:w="826"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7,9</w:t>
            </w:r>
          </w:p>
        </w:tc>
        <w:tc>
          <w:tcPr>
            <w:tcW w:w="826"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13,8</w:t>
            </w:r>
          </w:p>
        </w:tc>
        <w:tc>
          <w:tcPr>
            <w:tcW w:w="826"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14,2</w:t>
            </w:r>
          </w:p>
        </w:tc>
        <w:tc>
          <w:tcPr>
            <w:tcW w:w="826"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14,5</w:t>
            </w:r>
          </w:p>
        </w:tc>
        <w:tc>
          <w:tcPr>
            <w:tcW w:w="966"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14,4</w:t>
            </w:r>
          </w:p>
        </w:tc>
      </w:tr>
    </w:tbl>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z w:val="24"/>
          <w:szCs w:val="24"/>
        </w:rPr>
        <w:tab/>
      </w:r>
      <w:r w:rsidRPr="00313B5C">
        <w:rPr>
          <w:rFonts w:ascii="Times New Roman" w:hAnsi="Times New Roman" w:cs="Times New Roman"/>
          <w:b/>
          <w:bCs/>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Tablo 4’de Türkiye ve ABD’nin sağlık harcamalarının </w:t>
      </w:r>
      <w:proofErr w:type="spellStart"/>
      <w:r w:rsidRPr="00313B5C">
        <w:rPr>
          <w:rFonts w:ascii="Times New Roman" w:hAnsi="Times New Roman" w:cs="Times New Roman"/>
          <w:sz w:val="24"/>
          <w:szCs w:val="24"/>
        </w:rPr>
        <w:t>GSYİH’ye</w:t>
      </w:r>
      <w:proofErr w:type="spellEnd"/>
      <w:r w:rsidRPr="00313B5C">
        <w:rPr>
          <w:rFonts w:ascii="Times New Roman" w:hAnsi="Times New Roman" w:cs="Times New Roman"/>
          <w:sz w:val="24"/>
          <w:szCs w:val="24"/>
        </w:rPr>
        <w:t xml:space="preserve"> oranları görülmektedir. Bu oranlara bakıldığında Amerika’nın </w:t>
      </w:r>
      <w:proofErr w:type="spellStart"/>
      <w:r w:rsidRPr="00313B5C">
        <w:rPr>
          <w:rFonts w:ascii="Times New Roman" w:hAnsi="Times New Roman" w:cs="Times New Roman"/>
          <w:sz w:val="24"/>
          <w:szCs w:val="24"/>
        </w:rPr>
        <w:t>GSYİH’dan</w:t>
      </w:r>
      <w:proofErr w:type="spellEnd"/>
      <w:r w:rsidRPr="00313B5C">
        <w:rPr>
          <w:rFonts w:ascii="Times New Roman" w:hAnsi="Times New Roman" w:cs="Times New Roman"/>
          <w:sz w:val="24"/>
          <w:szCs w:val="24"/>
        </w:rPr>
        <w:t xml:space="preserve"> sağlık harcamalarına ayırdığı miktarın Türkiye’nin çok üzerinde olduğu söylenebilir. </w:t>
      </w:r>
    </w:p>
    <w:p w:rsidR="00F17ED1" w:rsidRPr="00313B5C" w:rsidRDefault="00F17ED1" w:rsidP="00313B5C">
      <w:pPr>
        <w:jc w:val="both"/>
        <w:rPr>
          <w:rFonts w:ascii="Times New Roman" w:hAnsi="Times New Roman" w:cs="Times New Roman"/>
          <w:sz w:val="24"/>
          <w:szCs w:val="24"/>
        </w:rPr>
      </w:pPr>
    </w:p>
    <w:p w:rsidR="00F17ED1" w:rsidRPr="00313B5C" w:rsidRDefault="00F17ED1" w:rsidP="00313B5C">
      <w:pPr>
        <w:ind w:firstLine="708"/>
        <w:jc w:val="both"/>
        <w:rPr>
          <w:rFonts w:ascii="Times New Roman" w:hAnsi="Times New Roman" w:cs="Times New Roman"/>
          <w:sz w:val="24"/>
          <w:szCs w:val="24"/>
        </w:rPr>
      </w:pPr>
      <w:bookmarkStart w:id="33" w:name="_Toc33364226"/>
      <w:r w:rsidRPr="00313B5C">
        <w:rPr>
          <w:rFonts w:ascii="Times New Roman" w:hAnsi="Times New Roman" w:cs="Times New Roman"/>
          <w:b/>
          <w:bCs/>
          <w:sz w:val="24"/>
          <w:szCs w:val="24"/>
        </w:rPr>
        <w:t xml:space="preserve">Tablo </w:t>
      </w:r>
      <w:r w:rsidRPr="00313B5C">
        <w:rPr>
          <w:rFonts w:ascii="Times New Roman" w:hAnsi="Times New Roman" w:cs="Times New Roman"/>
          <w:b/>
          <w:bCs/>
          <w:sz w:val="24"/>
          <w:szCs w:val="24"/>
        </w:rPr>
        <w:fldChar w:fldCharType="begin"/>
      </w:r>
      <w:r w:rsidRPr="00313B5C">
        <w:rPr>
          <w:rFonts w:ascii="Times New Roman" w:hAnsi="Times New Roman" w:cs="Times New Roman"/>
          <w:b/>
          <w:bCs/>
          <w:sz w:val="24"/>
          <w:szCs w:val="24"/>
        </w:rPr>
        <w:instrText xml:space="preserve"> SEQ Tablo \* ARABIC </w:instrText>
      </w:r>
      <w:r w:rsidRPr="00313B5C">
        <w:rPr>
          <w:rFonts w:ascii="Times New Roman" w:hAnsi="Times New Roman" w:cs="Times New Roman"/>
          <w:b/>
          <w:bCs/>
          <w:sz w:val="24"/>
          <w:szCs w:val="24"/>
        </w:rPr>
        <w:fldChar w:fldCharType="separate"/>
      </w:r>
      <w:r w:rsidRPr="00313B5C">
        <w:rPr>
          <w:rFonts w:ascii="Times New Roman" w:hAnsi="Times New Roman" w:cs="Times New Roman"/>
          <w:b/>
          <w:bCs/>
          <w:noProof/>
          <w:sz w:val="24"/>
          <w:szCs w:val="24"/>
        </w:rPr>
        <w:t>6</w:t>
      </w:r>
      <w:r w:rsidRPr="00313B5C">
        <w:rPr>
          <w:rFonts w:ascii="Times New Roman" w:hAnsi="Times New Roman" w:cs="Times New Roman"/>
          <w:b/>
          <w:bCs/>
          <w:sz w:val="24"/>
          <w:szCs w:val="24"/>
        </w:rPr>
        <w:fldChar w:fldCharType="end"/>
      </w:r>
      <w:r w:rsidRPr="00313B5C">
        <w:rPr>
          <w:rFonts w:ascii="Times New Roman" w:hAnsi="Times New Roman" w:cs="Times New Roman"/>
          <w:b/>
          <w:bCs/>
          <w:sz w:val="24"/>
          <w:szCs w:val="24"/>
        </w:rPr>
        <w:t>:</w:t>
      </w:r>
      <w:r w:rsidRPr="00313B5C">
        <w:rPr>
          <w:rFonts w:ascii="Times New Roman" w:hAnsi="Times New Roman" w:cs="Times New Roman"/>
          <w:sz w:val="24"/>
          <w:szCs w:val="24"/>
        </w:rPr>
        <w:t xml:space="preserve"> Medikal Teknoloji (1.000.000 kişi başına)</w:t>
      </w:r>
      <w:bookmarkEnd w:id="33"/>
    </w:p>
    <w:tbl>
      <w:tblPr>
        <w:tblStyle w:val="KlavuzTablo1Ak-Vurgu11"/>
        <w:tblW w:w="9047" w:type="dxa"/>
        <w:tblInd w:w="108" w:type="dxa"/>
        <w:tblLook w:val="04A0" w:firstRow="1" w:lastRow="0" w:firstColumn="1" w:lastColumn="0" w:noHBand="0" w:noVBand="1"/>
      </w:tblPr>
      <w:tblGrid>
        <w:gridCol w:w="1497"/>
        <w:gridCol w:w="1044"/>
        <w:gridCol w:w="756"/>
        <w:gridCol w:w="809"/>
        <w:gridCol w:w="809"/>
        <w:gridCol w:w="809"/>
        <w:gridCol w:w="809"/>
        <w:gridCol w:w="809"/>
        <w:gridCol w:w="809"/>
        <w:gridCol w:w="896"/>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48" w:type="dxa"/>
            <w:gridSpan w:val="2"/>
            <w:tcBorders>
              <w:top w:val="nil"/>
              <w:left w:val="nil"/>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747"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2010</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2011</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2012</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2013</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2014</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2015</w:t>
            </w:r>
          </w:p>
        </w:tc>
        <w:tc>
          <w:tcPr>
            <w:tcW w:w="84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2016</w:t>
            </w:r>
          </w:p>
        </w:tc>
        <w:tc>
          <w:tcPr>
            <w:tcW w:w="988"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2017</w:t>
            </w:r>
          </w:p>
        </w:tc>
      </w:tr>
      <w:tr w:rsidR="00F17ED1" w:rsidRPr="00313B5C" w:rsidTr="009F0079">
        <w:trPr>
          <w:trHeight w:val="329"/>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Tomografi</w:t>
            </w:r>
          </w:p>
        </w:tc>
        <w:tc>
          <w:tcPr>
            <w:tcW w:w="101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12,36</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13,12</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13,53</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13,89</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13,88</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14,31</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14,53</w:t>
            </w:r>
          </w:p>
        </w:tc>
        <w:tc>
          <w:tcPr>
            <w:tcW w:w="988"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14,77</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40,88</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43,87</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43,46</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41</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40,96</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41,82</w:t>
            </w:r>
          </w:p>
        </w:tc>
        <w:tc>
          <w:tcPr>
            <w:tcW w:w="988"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42,64</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MR</w:t>
            </w:r>
          </w:p>
        </w:tc>
        <w:tc>
          <w:tcPr>
            <w:tcW w:w="1012"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9,27</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9,55</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9,58</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9,86</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9,81</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10,15</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10,55</w:t>
            </w:r>
          </w:p>
        </w:tc>
        <w:tc>
          <w:tcPr>
            <w:tcW w:w="988"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11,01</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31,52</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34,44</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35,48</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38,09</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38,98</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36,69</w:t>
            </w:r>
          </w:p>
        </w:tc>
        <w:tc>
          <w:tcPr>
            <w:tcW w:w="988"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37,56</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PET</w:t>
            </w:r>
          </w:p>
        </w:tc>
        <w:tc>
          <w:tcPr>
            <w:tcW w:w="1012"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0,55</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0,63</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0,94</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1,12</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1,31</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1,33</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w:t>
            </w:r>
          </w:p>
        </w:tc>
        <w:tc>
          <w:tcPr>
            <w:tcW w:w="988"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1,51</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4,65</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5,13</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5,12</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88"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Gama Kamerası</w:t>
            </w:r>
          </w:p>
        </w:tc>
        <w:tc>
          <w:tcPr>
            <w:tcW w:w="1012"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2,34</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2,32</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2,9</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3,31</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3,37</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3,68</w:t>
            </w:r>
          </w:p>
        </w:tc>
        <w:tc>
          <w:tcPr>
            <w:tcW w:w="988"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3,52</w:t>
            </w:r>
          </w:p>
        </w:tc>
      </w:tr>
      <w:tr w:rsidR="00F17ED1" w:rsidRPr="00313B5C" w:rsidTr="009F0079">
        <w:trPr>
          <w:trHeight w:val="343"/>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51,02</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46,88</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988"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r>
      <w:tr w:rsidR="00F17ED1" w:rsidRPr="00313B5C" w:rsidTr="009F0079">
        <w:trPr>
          <w:trHeight w:val="329"/>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Mamografi</w:t>
            </w:r>
          </w:p>
        </w:tc>
        <w:tc>
          <w:tcPr>
            <w:tcW w:w="1012"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8,72</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9,79</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12,45</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11,88</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11,7</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11,46</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11,74</w:t>
            </w:r>
          </w:p>
        </w:tc>
        <w:tc>
          <w:tcPr>
            <w:tcW w:w="988"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11,79</w:t>
            </w:r>
          </w:p>
        </w:tc>
      </w:tr>
      <w:tr w:rsidR="00F17ED1" w:rsidRPr="00313B5C" w:rsidTr="009F0079">
        <w:trPr>
          <w:trHeight w:val="356"/>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40,23</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39,46</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39,73</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41,14</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43,3</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47,2</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51,7</w:t>
            </w:r>
          </w:p>
        </w:tc>
        <w:tc>
          <w:tcPr>
            <w:tcW w:w="988"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55,45</w:t>
            </w:r>
          </w:p>
        </w:tc>
      </w:tr>
      <w:tr w:rsidR="00F17ED1" w:rsidRPr="00313B5C" w:rsidTr="009F0079">
        <w:trPr>
          <w:trHeight w:val="329"/>
        </w:trPr>
        <w:tc>
          <w:tcPr>
            <w:cnfStyle w:val="001000000000" w:firstRow="0" w:lastRow="0" w:firstColumn="1" w:lastColumn="0" w:oddVBand="0" w:evenVBand="0" w:oddHBand="0" w:evenHBand="0" w:firstRowFirstColumn="0" w:firstRowLastColumn="0" w:lastRowFirstColumn="0" w:lastRowLastColumn="0"/>
            <w:tcW w:w="1235"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lastRenderedPageBreak/>
              <w:t>Radyoterapi Ünitesi</w:t>
            </w:r>
          </w:p>
        </w:tc>
        <w:tc>
          <w:tcPr>
            <w:tcW w:w="1012"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747"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1,79</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2,02</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2,39</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2,52</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2,54</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2,58</w:t>
            </w:r>
          </w:p>
        </w:tc>
        <w:tc>
          <w:tcPr>
            <w:tcW w:w="84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2,71</w:t>
            </w:r>
          </w:p>
        </w:tc>
        <w:tc>
          <w:tcPr>
            <w:tcW w:w="988"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2,78</w:t>
            </w:r>
          </w:p>
        </w:tc>
      </w:tr>
      <w:tr w:rsidR="00F17ED1" w:rsidRPr="00313B5C" w:rsidTr="009F0079">
        <w:trPr>
          <w:trHeight w:val="212"/>
        </w:trPr>
        <w:tc>
          <w:tcPr>
            <w:cnfStyle w:val="001000000000" w:firstRow="0" w:lastRow="0" w:firstColumn="1" w:lastColumn="0" w:oddVBand="0" w:evenVBand="0" w:oddHBand="0" w:evenHBand="0" w:firstRowFirstColumn="0" w:firstRowLastColumn="0" w:lastRowFirstColumn="0" w:lastRowLastColumn="0"/>
            <w:tcW w:w="1235"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1012"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747"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11,3</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12,45</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12,47</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c>
          <w:tcPr>
            <w:tcW w:w="84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11,92</w:t>
            </w:r>
          </w:p>
        </w:tc>
        <w:tc>
          <w:tcPr>
            <w:tcW w:w="988"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w:t>
            </w:r>
          </w:p>
        </w:tc>
      </w:tr>
    </w:tbl>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z w:val="24"/>
          <w:szCs w:val="24"/>
        </w:rPr>
        <w:tab/>
      </w:r>
      <w:r w:rsidRPr="00313B5C">
        <w:rPr>
          <w:rFonts w:ascii="Times New Roman" w:hAnsi="Times New Roman" w:cs="Times New Roman"/>
          <w:b/>
          <w:bCs/>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Tablo 5’te Türkiye ve ABD’ye ait medikal teknolojilerine dair veriler bulunmaktadır. Veriler incelendiğinde Türkiye’nin yaklaşık 4 katı daha fazla nüfusa ve hastaneye sahip olan ABD’nin sahip olduğu Tomografi, MR, PET, Gama Kamerası, Mamografi ve Radyoterapi Ünitesi sayıları Türkiye’nin sahip olduğundan yaklaşık 5 kat daha fazladır.</w:t>
      </w:r>
    </w:p>
    <w:p w:rsidR="00F17ED1" w:rsidRPr="00313B5C" w:rsidRDefault="00F17ED1" w:rsidP="00313B5C">
      <w:pPr>
        <w:ind w:firstLine="708"/>
        <w:jc w:val="both"/>
        <w:rPr>
          <w:rFonts w:ascii="Times New Roman" w:hAnsi="Times New Roman" w:cs="Times New Roman"/>
          <w:sz w:val="24"/>
          <w:szCs w:val="24"/>
        </w:rPr>
      </w:pPr>
      <w:bookmarkStart w:id="34" w:name="_Toc33364227"/>
      <w:r w:rsidRPr="00313B5C">
        <w:rPr>
          <w:rFonts w:ascii="Times New Roman" w:hAnsi="Times New Roman" w:cs="Times New Roman"/>
          <w:b/>
          <w:bCs/>
          <w:sz w:val="24"/>
          <w:szCs w:val="24"/>
        </w:rPr>
        <w:t xml:space="preserve">Tablo </w:t>
      </w:r>
      <w:r w:rsidRPr="00313B5C">
        <w:rPr>
          <w:rFonts w:ascii="Times New Roman" w:hAnsi="Times New Roman" w:cs="Times New Roman"/>
          <w:b/>
          <w:bCs/>
          <w:sz w:val="24"/>
          <w:szCs w:val="24"/>
        </w:rPr>
        <w:fldChar w:fldCharType="begin"/>
      </w:r>
      <w:r w:rsidRPr="00313B5C">
        <w:rPr>
          <w:rFonts w:ascii="Times New Roman" w:hAnsi="Times New Roman" w:cs="Times New Roman"/>
          <w:b/>
          <w:bCs/>
          <w:sz w:val="24"/>
          <w:szCs w:val="24"/>
        </w:rPr>
        <w:instrText xml:space="preserve"> SEQ Tablo \* ARABIC </w:instrText>
      </w:r>
      <w:r w:rsidRPr="00313B5C">
        <w:rPr>
          <w:rFonts w:ascii="Times New Roman" w:hAnsi="Times New Roman" w:cs="Times New Roman"/>
          <w:b/>
          <w:bCs/>
          <w:sz w:val="24"/>
          <w:szCs w:val="24"/>
        </w:rPr>
        <w:fldChar w:fldCharType="separate"/>
      </w:r>
      <w:r w:rsidRPr="00313B5C">
        <w:rPr>
          <w:rFonts w:ascii="Times New Roman" w:hAnsi="Times New Roman" w:cs="Times New Roman"/>
          <w:b/>
          <w:bCs/>
          <w:noProof/>
          <w:sz w:val="24"/>
          <w:szCs w:val="24"/>
        </w:rPr>
        <w:t>7</w:t>
      </w:r>
      <w:r w:rsidRPr="00313B5C">
        <w:rPr>
          <w:rFonts w:ascii="Times New Roman" w:hAnsi="Times New Roman" w:cs="Times New Roman"/>
          <w:b/>
          <w:bCs/>
          <w:sz w:val="24"/>
          <w:szCs w:val="24"/>
        </w:rPr>
        <w:fldChar w:fldCharType="end"/>
      </w:r>
      <w:r w:rsidRPr="00313B5C">
        <w:rPr>
          <w:rFonts w:ascii="Times New Roman" w:hAnsi="Times New Roman" w:cs="Times New Roman"/>
          <w:b/>
          <w:bCs/>
          <w:sz w:val="24"/>
          <w:szCs w:val="24"/>
        </w:rPr>
        <w:t>:</w:t>
      </w:r>
      <w:r w:rsidRPr="00313B5C">
        <w:rPr>
          <w:rFonts w:ascii="Times New Roman" w:hAnsi="Times New Roman" w:cs="Times New Roman"/>
          <w:sz w:val="24"/>
          <w:szCs w:val="24"/>
        </w:rPr>
        <w:t xml:space="preserve"> Sağlık Hizmetlerinden Yararlanma (Bağışıklama / %)</w:t>
      </w:r>
      <w:bookmarkEnd w:id="34"/>
    </w:p>
    <w:tbl>
      <w:tblPr>
        <w:tblStyle w:val="KlavuzTablo1Ak-Vurgu11"/>
        <w:tblW w:w="9061" w:type="dxa"/>
        <w:tblInd w:w="108" w:type="dxa"/>
        <w:tblLook w:val="04A0" w:firstRow="1" w:lastRow="0" w:firstColumn="1" w:lastColumn="0" w:noHBand="0" w:noVBand="1"/>
      </w:tblPr>
      <w:tblGrid>
        <w:gridCol w:w="1229"/>
        <w:gridCol w:w="1043"/>
        <w:gridCol w:w="798"/>
        <w:gridCol w:w="799"/>
        <w:gridCol w:w="799"/>
        <w:gridCol w:w="799"/>
        <w:gridCol w:w="799"/>
        <w:gridCol w:w="799"/>
        <w:gridCol w:w="800"/>
        <w:gridCol w:w="1196"/>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62" w:type="dxa"/>
            <w:gridSpan w:val="2"/>
            <w:tcBorders>
              <w:top w:val="nil"/>
              <w:left w:val="nil"/>
              <w:bottom w:val="single" w:sz="12" w:space="0" w:color="5B9BD5" w:themeColor="accent1"/>
              <w:right w:val="single" w:sz="12" w:space="0" w:color="5B9BD5" w:themeColor="accent1"/>
            </w:tcBorders>
          </w:tcPr>
          <w:p w:rsidR="00F17ED1" w:rsidRPr="00313B5C" w:rsidRDefault="00F17ED1" w:rsidP="00313B5C">
            <w:pPr>
              <w:jc w:val="both"/>
              <w:rPr>
                <w:rFonts w:ascii="Times New Roman" w:hAnsi="Times New Roman" w:cs="Times New Roman"/>
                <w:sz w:val="24"/>
                <w:szCs w:val="24"/>
              </w:rPr>
            </w:pPr>
          </w:p>
        </w:tc>
        <w:tc>
          <w:tcPr>
            <w:tcW w:w="808"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2010</w:t>
            </w:r>
          </w:p>
        </w:tc>
        <w:tc>
          <w:tcPr>
            <w:tcW w:w="808"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2011</w:t>
            </w:r>
          </w:p>
        </w:tc>
        <w:tc>
          <w:tcPr>
            <w:tcW w:w="808"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2012</w:t>
            </w:r>
          </w:p>
        </w:tc>
        <w:tc>
          <w:tcPr>
            <w:tcW w:w="808"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2013</w:t>
            </w:r>
          </w:p>
        </w:tc>
        <w:tc>
          <w:tcPr>
            <w:tcW w:w="808"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2014</w:t>
            </w:r>
          </w:p>
        </w:tc>
        <w:tc>
          <w:tcPr>
            <w:tcW w:w="808"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2015</w:t>
            </w:r>
          </w:p>
        </w:tc>
        <w:tc>
          <w:tcPr>
            <w:tcW w:w="809"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2016</w:t>
            </w:r>
          </w:p>
        </w:tc>
        <w:tc>
          <w:tcPr>
            <w:tcW w:w="1242"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2017</w:t>
            </w:r>
          </w:p>
        </w:tc>
      </w:tr>
      <w:tr w:rsidR="00F17ED1" w:rsidRPr="00313B5C" w:rsidTr="009F0079">
        <w:trPr>
          <w:trHeight w:val="503"/>
        </w:trPr>
        <w:tc>
          <w:tcPr>
            <w:cnfStyle w:val="001000000000" w:firstRow="0" w:lastRow="0" w:firstColumn="1" w:lastColumn="0" w:oddVBand="0" w:evenVBand="0" w:oddHBand="0" w:evenHBand="0" w:firstRowFirstColumn="0" w:firstRowLastColumn="0" w:lastRowFirstColumn="0" w:lastRowLastColumn="0"/>
            <w:tcW w:w="1231"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Difteri, Boğmaca, Tetanos</w:t>
            </w:r>
          </w:p>
        </w:tc>
        <w:tc>
          <w:tcPr>
            <w:tcW w:w="930"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808"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9"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12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r>
      <w:tr w:rsidR="00F17ED1" w:rsidRPr="00313B5C" w:rsidTr="009F0079">
        <w:trPr>
          <w:trHeight w:val="297"/>
        </w:trPr>
        <w:tc>
          <w:tcPr>
            <w:cnfStyle w:val="001000000000" w:firstRow="0" w:lastRow="0" w:firstColumn="1" w:lastColumn="0" w:oddVBand="0" w:evenVBand="0" w:oddHBand="0" w:evenHBand="0" w:firstRowFirstColumn="0" w:firstRowLastColumn="0" w:lastRowFirstColumn="0" w:lastRowLastColumn="0"/>
            <w:tcW w:w="1231"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30"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808"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94</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94</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w:t>
            </w:r>
          </w:p>
        </w:tc>
        <w:tc>
          <w:tcPr>
            <w:tcW w:w="809"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w:t>
            </w:r>
          </w:p>
        </w:tc>
        <w:tc>
          <w:tcPr>
            <w:tcW w:w="12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95</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1231"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Kızamık</w:t>
            </w:r>
          </w:p>
        </w:tc>
        <w:tc>
          <w:tcPr>
            <w:tcW w:w="930"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808"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94</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9"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12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1231"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30"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808"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90</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91</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9"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12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r>
      <w:tr w:rsidR="00F17ED1" w:rsidRPr="00313B5C" w:rsidTr="009F0079">
        <w:trPr>
          <w:trHeight w:val="335"/>
        </w:trPr>
        <w:tc>
          <w:tcPr>
            <w:cnfStyle w:val="001000000000" w:firstRow="0" w:lastRow="0" w:firstColumn="1" w:lastColumn="0" w:oddVBand="0" w:evenVBand="0" w:oddHBand="0" w:evenHBand="0" w:firstRowFirstColumn="0" w:firstRowLastColumn="0" w:lastRowFirstColumn="0" w:lastRowLastColumn="0"/>
            <w:tcW w:w="1231"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Hepatit B</w:t>
            </w:r>
          </w:p>
        </w:tc>
        <w:tc>
          <w:tcPr>
            <w:tcW w:w="930"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808"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c>
          <w:tcPr>
            <w:tcW w:w="808"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w:t>
            </w:r>
          </w:p>
        </w:tc>
        <w:tc>
          <w:tcPr>
            <w:tcW w:w="809"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98</w:t>
            </w:r>
          </w:p>
        </w:tc>
        <w:tc>
          <w:tcPr>
            <w:tcW w:w="1242"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96</w:t>
            </w:r>
          </w:p>
        </w:tc>
      </w:tr>
      <w:tr w:rsidR="00F17ED1" w:rsidRPr="00313B5C" w:rsidTr="009F0079">
        <w:trPr>
          <w:trHeight w:val="320"/>
        </w:trPr>
        <w:tc>
          <w:tcPr>
            <w:cnfStyle w:val="001000000000" w:firstRow="0" w:lastRow="0" w:firstColumn="1" w:lastColumn="0" w:oddVBand="0" w:evenVBand="0" w:oddHBand="0" w:evenHBand="0" w:firstRowFirstColumn="0" w:firstRowLastColumn="0" w:lastRowFirstColumn="0" w:lastRowLastColumn="0"/>
            <w:tcW w:w="1231"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30"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808"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91</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91</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90</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91</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8"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92</w:t>
            </w:r>
          </w:p>
        </w:tc>
        <w:tc>
          <w:tcPr>
            <w:tcW w:w="809"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93</w:t>
            </w:r>
          </w:p>
        </w:tc>
        <w:tc>
          <w:tcPr>
            <w:tcW w:w="1242"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93</w:t>
            </w:r>
          </w:p>
        </w:tc>
      </w:tr>
    </w:tbl>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z w:val="24"/>
          <w:szCs w:val="24"/>
        </w:rPr>
        <w:tab/>
      </w:r>
      <w:r w:rsidRPr="00313B5C">
        <w:rPr>
          <w:rFonts w:ascii="Times New Roman" w:hAnsi="Times New Roman" w:cs="Times New Roman"/>
          <w:b/>
          <w:bCs/>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4F6C6F">
      <w:pPr>
        <w:jc w:val="both"/>
        <w:rPr>
          <w:rFonts w:ascii="Times New Roman" w:hAnsi="Times New Roman" w:cs="Times New Roman"/>
          <w:sz w:val="24"/>
          <w:szCs w:val="24"/>
        </w:rPr>
      </w:pPr>
      <w:r w:rsidRPr="00313B5C">
        <w:rPr>
          <w:rFonts w:ascii="Times New Roman" w:hAnsi="Times New Roman" w:cs="Times New Roman"/>
          <w:sz w:val="24"/>
          <w:szCs w:val="24"/>
        </w:rPr>
        <w:t>OECD’nin son yıllara ait verileri incelendiğinde iki ülke için de bağışıklama (aşılama) oranının çok yüksek olduğu, çocukların tamamına yakınının aşılandığı söylenebilir. Oranlar iki ülke için birbirlerine çok yakın olsa da Türkiye’nin Amerika’ya göre daha yüksek oranlara sahip olduğu görülmektedir.</w:t>
      </w:r>
      <w:bookmarkStart w:id="35" w:name="_Toc33364228"/>
    </w:p>
    <w:p w:rsidR="00F17ED1" w:rsidRPr="00313B5C" w:rsidRDefault="00F17ED1" w:rsidP="00313B5C">
      <w:pPr>
        <w:ind w:firstLine="708"/>
        <w:jc w:val="both"/>
        <w:rPr>
          <w:rFonts w:ascii="Times New Roman" w:hAnsi="Times New Roman" w:cs="Times New Roman"/>
          <w:sz w:val="24"/>
          <w:szCs w:val="24"/>
        </w:rPr>
      </w:pPr>
      <w:r w:rsidRPr="00313B5C">
        <w:rPr>
          <w:rFonts w:ascii="Times New Roman" w:hAnsi="Times New Roman" w:cs="Times New Roman"/>
          <w:b/>
          <w:bCs/>
          <w:sz w:val="24"/>
          <w:szCs w:val="24"/>
        </w:rPr>
        <w:t xml:space="preserve">Tablo </w:t>
      </w:r>
      <w:r w:rsidRPr="00313B5C">
        <w:rPr>
          <w:rFonts w:ascii="Times New Roman" w:hAnsi="Times New Roman" w:cs="Times New Roman"/>
          <w:b/>
          <w:bCs/>
          <w:sz w:val="24"/>
          <w:szCs w:val="24"/>
        </w:rPr>
        <w:fldChar w:fldCharType="begin"/>
      </w:r>
      <w:r w:rsidRPr="00313B5C">
        <w:rPr>
          <w:rFonts w:ascii="Times New Roman" w:hAnsi="Times New Roman" w:cs="Times New Roman"/>
          <w:b/>
          <w:bCs/>
          <w:sz w:val="24"/>
          <w:szCs w:val="24"/>
        </w:rPr>
        <w:instrText xml:space="preserve"> SEQ Tablo \* ARABIC </w:instrText>
      </w:r>
      <w:r w:rsidRPr="00313B5C">
        <w:rPr>
          <w:rFonts w:ascii="Times New Roman" w:hAnsi="Times New Roman" w:cs="Times New Roman"/>
          <w:b/>
          <w:bCs/>
          <w:sz w:val="24"/>
          <w:szCs w:val="24"/>
        </w:rPr>
        <w:fldChar w:fldCharType="separate"/>
      </w:r>
      <w:r w:rsidRPr="00313B5C">
        <w:rPr>
          <w:rFonts w:ascii="Times New Roman" w:hAnsi="Times New Roman" w:cs="Times New Roman"/>
          <w:b/>
          <w:bCs/>
          <w:noProof/>
          <w:sz w:val="24"/>
          <w:szCs w:val="24"/>
        </w:rPr>
        <w:t>8</w:t>
      </w:r>
      <w:r w:rsidRPr="00313B5C">
        <w:rPr>
          <w:rFonts w:ascii="Times New Roman" w:hAnsi="Times New Roman" w:cs="Times New Roman"/>
          <w:b/>
          <w:bCs/>
          <w:sz w:val="24"/>
          <w:szCs w:val="24"/>
        </w:rPr>
        <w:fldChar w:fldCharType="end"/>
      </w:r>
      <w:r w:rsidRPr="00313B5C">
        <w:rPr>
          <w:rFonts w:ascii="Times New Roman" w:hAnsi="Times New Roman" w:cs="Times New Roman"/>
          <w:b/>
          <w:bCs/>
          <w:sz w:val="24"/>
          <w:szCs w:val="24"/>
        </w:rPr>
        <w:t>:</w:t>
      </w:r>
      <w:r w:rsidRPr="00313B5C">
        <w:rPr>
          <w:rFonts w:ascii="Times New Roman" w:hAnsi="Times New Roman" w:cs="Times New Roman"/>
          <w:sz w:val="24"/>
          <w:szCs w:val="24"/>
        </w:rPr>
        <w:t xml:space="preserve"> Gıda Tüketim Verileri</w:t>
      </w:r>
      <w:bookmarkEnd w:id="35"/>
    </w:p>
    <w:tbl>
      <w:tblPr>
        <w:tblStyle w:val="KlavuzTablo1Ak-Vurgu11"/>
        <w:tblW w:w="9074" w:type="dxa"/>
        <w:tblInd w:w="108" w:type="dxa"/>
        <w:tblLook w:val="04A0" w:firstRow="1" w:lastRow="0" w:firstColumn="1" w:lastColumn="0" w:noHBand="0" w:noVBand="1"/>
      </w:tblPr>
      <w:tblGrid>
        <w:gridCol w:w="1325"/>
        <w:gridCol w:w="1043"/>
        <w:gridCol w:w="920"/>
        <w:gridCol w:w="826"/>
        <w:gridCol w:w="806"/>
        <w:gridCol w:w="807"/>
        <w:gridCol w:w="806"/>
        <w:gridCol w:w="807"/>
        <w:gridCol w:w="806"/>
        <w:gridCol w:w="928"/>
      </w:tblGrid>
      <w:tr w:rsidR="00F17ED1" w:rsidRPr="00313B5C" w:rsidTr="009F007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289" w:type="dxa"/>
            <w:gridSpan w:val="2"/>
            <w:tcBorders>
              <w:top w:val="nil"/>
              <w:left w:val="nil"/>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0" w:type="dxa"/>
            <w:tcBorders>
              <w:top w:val="single" w:sz="12" w:space="0" w:color="5B9BD5" w:themeColor="accent1"/>
              <w:left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2006</w:t>
            </w:r>
          </w:p>
        </w:tc>
        <w:tc>
          <w:tcPr>
            <w:tcW w:w="834"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2007</w:t>
            </w:r>
          </w:p>
        </w:tc>
        <w:tc>
          <w:tcPr>
            <w:tcW w:w="812"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2008</w:t>
            </w:r>
          </w:p>
        </w:tc>
        <w:tc>
          <w:tcPr>
            <w:tcW w:w="813"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2009</w:t>
            </w:r>
          </w:p>
        </w:tc>
        <w:tc>
          <w:tcPr>
            <w:tcW w:w="812"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2010</w:t>
            </w:r>
          </w:p>
        </w:tc>
        <w:tc>
          <w:tcPr>
            <w:tcW w:w="813"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2011</w:t>
            </w:r>
          </w:p>
        </w:tc>
        <w:tc>
          <w:tcPr>
            <w:tcW w:w="812" w:type="dxa"/>
            <w:tcBorders>
              <w:top w:val="single" w:sz="12" w:space="0" w:color="5B9BD5" w:themeColor="accent1"/>
              <w:bottom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2012</w:t>
            </w:r>
          </w:p>
        </w:tc>
        <w:tc>
          <w:tcPr>
            <w:tcW w:w="949" w:type="dxa"/>
            <w:tcBorders>
              <w:top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2013</w:t>
            </w:r>
          </w:p>
        </w:tc>
      </w:tr>
      <w:tr w:rsidR="00F17ED1" w:rsidRPr="00313B5C" w:rsidTr="009F0079">
        <w:trPr>
          <w:trHeight w:val="461"/>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Yağ Tüketimi </w:t>
            </w:r>
            <w:r w:rsidRPr="00313B5C">
              <w:rPr>
                <w:rFonts w:ascii="Times New Roman" w:hAnsi="Times New Roman" w:cs="Times New Roman"/>
                <w:b w:val="0"/>
                <w:bCs w:val="0"/>
                <w:sz w:val="24"/>
                <w:szCs w:val="24"/>
              </w:rPr>
              <w:t>(Günlük / Kişi Başına / gr)</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108,2</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113,5</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110,3</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112,5</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113,8</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120,6</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120,1</w:t>
            </w:r>
          </w:p>
        </w:tc>
        <w:tc>
          <w:tcPr>
            <w:tcW w:w="949" w:type="dxa"/>
            <w:tcBorders>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119,7</w:t>
            </w:r>
          </w:p>
        </w:tc>
      </w:tr>
      <w:tr w:rsidR="00F17ED1" w:rsidRPr="00313B5C" w:rsidTr="009F0079">
        <w:trPr>
          <w:trHeight w:val="324"/>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162,5</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163,2</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161,4</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159,3</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159,9</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161,7</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162,2</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161,5</w:t>
            </w:r>
          </w:p>
        </w:tc>
      </w:tr>
      <w:tr w:rsidR="00F17ED1" w:rsidRPr="00313B5C" w:rsidTr="009F0079">
        <w:trPr>
          <w:trHeight w:val="629"/>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Kalori Tüketimi </w:t>
            </w:r>
            <w:r w:rsidRPr="00313B5C">
              <w:rPr>
                <w:rFonts w:ascii="Times New Roman" w:hAnsi="Times New Roman" w:cs="Times New Roman"/>
                <w:b w:val="0"/>
                <w:bCs w:val="0"/>
                <w:sz w:val="24"/>
                <w:szCs w:val="24"/>
              </w:rPr>
              <w:t xml:space="preserve">(Günlük / Kişi Başına / </w:t>
            </w:r>
            <w:proofErr w:type="spellStart"/>
            <w:r w:rsidRPr="00313B5C">
              <w:rPr>
                <w:rFonts w:ascii="Times New Roman" w:hAnsi="Times New Roman" w:cs="Times New Roman"/>
                <w:b w:val="0"/>
                <w:bCs w:val="0"/>
                <w:sz w:val="24"/>
                <w:szCs w:val="24"/>
              </w:rPr>
              <w:t>kcal</w:t>
            </w:r>
            <w:proofErr w:type="spellEnd"/>
            <w:r w:rsidRPr="00313B5C">
              <w:rPr>
                <w:rFonts w:ascii="Times New Roman" w:hAnsi="Times New Roman" w:cs="Times New Roman"/>
                <w:b w:val="0"/>
                <w:bCs w:val="0"/>
                <w:sz w:val="24"/>
                <w:szCs w:val="24"/>
              </w:rPr>
              <w:t>)</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3.647</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3.630</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3.595</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3.621</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3.650</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3.674</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3.690</w:t>
            </w:r>
          </w:p>
        </w:tc>
        <w:tc>
          <w:tcPr>
            <w:tcW w:w="949"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3.706</w:t>
            </w:r>
          </w:p>
        </w:tc>
      </w:tr>
      <w:tr w:rsidR="00F17ED1" w:rsidRPr="00313B5C" w:rsidTr="009F0079">
        <w:trPr>
          <w:trHeight w:val="324"/>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3.783</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3.757</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3.700</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3.645</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3.650</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3.649</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3.687</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3.682</w:t>
            </w:r>
          </w:p>
        </w:tc>
      </w:tr>
      <w:tr w:rsidR="00F17ED1" w:rsidRPr="00313B5C" w:rsidTr="009F0079">
        <w:trPr>
          <w:trHeight w:val="634"/>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Protein Tüketimi </w:t>
            </w:r>
            <w:r w:rsidRPr="00313B5C">
              <w:rPr>
                <w:rFonts w:ascii="Times New Roman" w:hAnsi="Times New Roman" w:cs="Times New Roman"/>
                <w:b w:val="0"/>
                <w:bCs w:val="0"/>
                <w:sz w:val="24"/>
                <w:szCs w:val="24"/>
              </w:rPr>
              <w:t>(Günlük / Kişi Başına / gr)</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103</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102,7</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100,5</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100,7</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103,5</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104,5</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107,5</w:t>
            </w:r>
          </w:p>
        </w:tc>
        <w:tc>
          <w:tcPr>
            <w:tcW w:w="949"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108,1</w:t>
            </w:r>
          </w:p>
        </w:tc>
      </w:tr>
      <w:tr w:rsidR="00F17ED1" w:rsidRPr="00313B5C" w:rsidTr="009F0079">
        <w:trPr>
          <w:trHeight w:val="324"/>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114,6</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114,9</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112,9</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110,9</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110,6</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108,6</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109,7</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109,6</w:t>
            </w:r>
          </w:p>
        </w:tc>
      </w:tr>
      <w:tr w:rsidR="00F17ED1" w:rsidRPr="00313B5C" w:rsidTr="009F0079">
        <w:trPr>
          <w:trHeight w:val="638"/>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Şeker Tüketimi </w:t>
            </w:r>
            <w:r w:rsidRPr="00313B5C">
              <w:rPr>
                <w:rFonts w:ascii="Times New Roman" w:hAnsi="Times New Roman" w:cs="Times New Roman"/>
                <w:b w:val="0"/>
                <w:bCs w:val="0"/>
                <w:sz w:val="24"/>
                <w:szCs w:val="24"/>
              </w:rPr>
              <w:t xml:space="preserve">(Yıllık / </w:t>
            </w:r>
            <w:r w:rsidRPr="00313B5C">
              <w:rPr>
                <w:rFonts w:ascii="Times New Roman" w:hAnsi="Times New Roman" w:cs="Times New Roman"/>
                <w:b w:val="0"/>
                <w:bCs w:val="0"/>
                <w:sz w:val="24"/>
                <w:szCs w:val="24"/>
              </w:rPr>
              <w:lastRenderedPageBreak/>
              <w:t>Kişi Başına / kg)</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lastRenderedPageBreak/>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32,1</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28,5</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30,7</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32,3</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33</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31,2</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31,5</w:t>
            </w:r>
          </w:p>
        </w:tc>
        <w:tc>
          <w:tcPr>
            <w:tcW w:w="949"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31,9</w:t>
            </w:r>
          </w:p>
        </w:tc>
      </w:tr>
      <w:tr w:rsidR="00F17ED1" w:rsidRPr="00313B5C" w:rsidTr="009F0079">
        <w:trPr>
          <w:trHeight w:val="324"/>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68,4</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63,8</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61,9</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60,2</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60,8</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62,7</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63,5</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63,8</w:t>
            </w:r>
          </w:p>
        </w:tc>
      </w:tr>
      <w:tr w:rsidR="00F17ED1" w:rsidRPr="00313B5C" w:rsidTr="009F0079">
        <w:trPr>
          <w:trHeight w:val="627"/>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lastRenderedPageBreak/>
              <w:t xml:space="preserve">Sebze Tüketimi </w:t>
            </w:r>
            <w:r w:rsidRPr="00313B5C">
              <w:rPr>
                <w:rFonts w:ascii="Times New Roman" w:hAnsi="Times New Roman" w:cs="Times New Roman"/>
                <w:b w:val="0"/>
                <w:bCs w:val="0"/>
                <w:sz w:val="24"/>
                <w:szCs w:val="24"/>
              </w:rPr>
              <w:t>(Yıllık / Kişi Başına / kg)</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239,8</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234,6</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244,2</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235,3</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227</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241</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239,1</w:t>
            </w:r>
          </w:p>
        </w:tc>
        <w:tc>
          <w:tcPr>
            <w:tcW w:w="949"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241,3</w:t>
            </w:r>
          </w:p>
        </w:tc>
      </w:tr>
      <w:tr w:rsidR="00F17ED1" w:rsidRPr="00313B5C" w:rsidTr="009F0079">
        <w:trPr>
          <w:trHeight w:val="336"/>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125,9</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128,8</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116,4</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121,8</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120,1</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116,4</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118,2</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114</w:t>
            </w:r>
          </w:p>
        </w:tc>
      </w:tr>
      <w:tr w:rsidR="00F17ED1" w:rsidRPr="00313B5C" w:rsidTr="009F0079">
        <w:trPr>
          <w:trHeight w:val="645"/>
        </w:trPr>
        <w:tc>
          <w:tcPr>
            <w:cnfStyle w:val="001000000000" w:firstRow="0" w:lastRow="0" w:firstColumn="1" w:lastColumn="0" w:oddVBand="0" w:evenVBand="0" w:oddHBand="0" w:evenHBand="0" w:firstRowFirstColumn="0" w:firstRowLastColumn="0" w:lastRowFirstColumn="0" w:lastRowLastColumn="0"/>
            <w:tcW w:w="1344" w:type="dxa"/>
            <w:vMerge w:val="restart"/>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 xml:space="preserve">Meyve Tüketimi </w:t>
            </w:r>
            <w:r w:rsidRPr="00313B5C">
              <w:rPr>
                <w:rFonts w:ascii="Times New Roman" w:hAnsi="Times New Roman" w:cs="Times New Roman"/>
                <w:b w:val="0"/>
                <w:bCs w:val="0"/>
                <w:sz w:val="24"/>
                <w:szCs w:val="24"/>
              </w:rPr>
              <w:t>(Yıllık / Kişi Başına / kg)</w:t>
            </w:r>
          </w:p>
        </w:tc>
        <w:tc>
          <w:tcPr>
            <w:tcW w:w="945" w:type="dxa"/>
            <w:tcBorders>
              <w:top w:val="single" w:sz="12" w:space="0" w:color="5B9BD5" w:themeColor="accent1"/>
              <w:left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Türkiye</w:t>
            </w:r>
          </w:p>
        </w:tc>
        <w:tc>
          <w:tcPr>
            <w:tcW w:w="940" w:type="dxa"/>
            <w:tcBorders>
              <w:top w:val="single" w:sz="12" w:space="0" w:color="5B9BD5" w:themeColor="accent1"/>
              <w:lef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113,5</w:t>
            </w:r>
          </w:p>
        </w:tc>
        <w:tc>
          <w:tcPr>
            <w:tcW w:w="834"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116,8</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123,6</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127,3</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120,8</w:t>
            </w:r>
          </w:p>
        </w:tc>
        <w:tc>
          <w:tcPr>
            <w:tcW w:w="813"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122,2</w:t>
            </w:r>
          </w:p>
        </w:tc>
        <w:tc>
          <w:tcPr>
            <w:tcW w:w="812" w:type="dxa"/>
            <w:tcBorders>
              <w:top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127,1</w:t>
            </w:r>
          </w:p>
        </w:tc>
        <w:tc>
          <w:tcPr>
            <w:tcW w:w="949" w:type="dxa"/>
            <w:tcBorders>
              <w:top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127,2</w:t>
            </w:r>
          </w:p>
        </w:tc>
      </w:tr>
      <w:tr w:rsidR="00F17ED1" w:rsidRPr="00313B5C" w:rsidTr="009F0079">
        <w:trPr>
          <w:trHeight w:val="324"/>
        </w:trPr>
        <w:tc>
          <w:tcPr>
            <w:cnfStyle w:val="001000000000" w:firstRow="0" w:lastRow="0" w:firstColumn="1" w:lastColumn="0" w:oddVBand="0" w:evenVBand="0" w:oddHBand="0" w:evenHBand="0" w:firstRowFirstColumn="0" w:firstRowLastColumn="0" w:lastRowFirstColumn="0" w:lastRowLastColumn="0"/>
            <w:tcW w:w="1344" w:type="dxa"/>
            <w:vMerge/>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rPr>
                <w:rFonts w:ascii="Times New Roman" w:hAnsi="Times New Roman" w:cs="Times New Roman"/>
                <w:sz w:val="24"/>
                <w:szCs w:val="24"/>
              </w:rPr>
            </w:pPr>
          </w:p>
        </w:tc>
        <w:tc>
          <w:tcPr>
            <w:tcW w:w="945" w:type="dxa"/>
            <w:tcBorders>
              <w:left w:val="single" w:sz="12" w:space="0" w:color="5B9BD5" w:themeColor="accent1"/>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13B5C">
              <w:rPr>
                <w:rFonts w:ascii="Times New Roman" w:hAnsi="Times New Roman" w:cs="Times New Roman"/>
                <w:b/>
                <w:bCs/>
                <w:sz w:val="24"/>
                <w:szCs w:val="24"/>
              </w:rPr>
              <w:t>ABD</w:t>
            </w:r>
          </w:p>
        </w:tc>
        <w:tc>
          <w:tcPr>
            <w:tcW w:w="940" w:type="dxa"/>
            <w:tcBorders>
              <w:left w:val="single" w:sz="12" w:space="0" w:color="5B9BD5" w:themeColor="accent1"/>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108,5</w:t>
            </w:r>
          </w:p>
        </w:tc>
        <w:tc>
          <w:tcPr>
            <w:tcW w:w="834"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109,9</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115,1</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109,3</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103,2</w:t>
            </w:r>
          </w:p>
        </w:tc>
        <w:tc>
          <w:tcPr>
            <w:tcW w:w="813"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97,7</w:t>
            </w:r>
          </w:p>
        </w:tc>
        <w:tc>
          <w:tcPr>
            <w:tcW w:w="812" w:type="dxa"/>
            <w:tcBorders>
              <w:bottom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103,4</w:t>
            </w:r>
          </w:p>
        </w:tc>
        <w:tc>
          <w:tcPr>
            <w:tcW w:w="949" w:type="dxa"/>
            <w:tcBorders>
              <w:bottom w:val="single" w:sz="12" w:space="0" w:color="5B9BD5" w:themeColor="accent1"/>
              <w:right w:val="single" w:sz="12" w:space="0" w:color="5B9BD5" w:themeColor="accent1"/>
            </w:tcBorders>
            <w:vAlign w:val="center"/>
          </w:tcPr>
          <w:p w:rsidR="00F17ED1" w:rsidRPr="00313B5C" w:rsidRDefault="00F17ED1" w:rsidP="00313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3B5C">
              <w:rPr>
                <w:rFonts w:ascii="Times New Roman" w:hAnsi="Times New Roman" w:cs="Times New Roman"/>
                <w:sz w:val="24"/>
                <w:szCs w:val="24"/>
              </w:rPr>
              <w:t>104,5</w:t>
            </w:r>
          </w:p>
        </w:tc>
      </w:tr>
    </w:tbl>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z w:val="24"/>
          <w:szCs w:val="24"/>
        </w:rPr>
        <w:tab/>
      </w:r>
      <w:r w:rsidRPr="00313B5C">
        <w:rPr>
          <w:rFonts w:ascii="Times New Roman" w:hAnsi="Times New Roman" w:cs="Times New Roman"/>
          <w:b/>
          <w:bCs/>
          <w:sz w:val="24"/>
          <w:szCs w:val="24"/>
        </w:rPr>
        <w:t xml:space="preserve">Kaynak: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sz w:val="24"/>
          <w:szCs w:val="24"/>
        </w:rPr>
      </w:pPr>
      <w:r w:rsidRPr="00313B5C">
        <w:rPr>
          <w:rFonts w:ascii="Times New Roman" w:hAnsi="Times New Roman" w:cs="Times New Roman"/>
          <w:sz w:val="24"/>
          <w:szCs w:val="24"/>
        </w:rPr>
        <w:t>Günlük kişi başına yağ tüketim miktarlarına bakıldığında yağ tüketiminin Amerika’da daha yüksek olduğu görülmektedir. Günlük şeker tüketiminde ise ABD Türkiye’ye oranla yaklaşık iki kat daha fazla şeker tüketmektedir. Sebze ve meyve tüketimi Türkiye’de daha fazla iken protein tüketimine bakıldığında küçük farklarla Amerika’nın daha fazla tükettiği görülebilir. Günlük kalori tüketimi incelendiğinde ise iki ülke için verilerin birbirine yakın oldukları söylenebilir.</w:t>
      </w:r>
    </w:p>
    <w:p w:rsidR="00F17ED1" w:rsidRPr="00313B5C" w:rsidRDefault="00F17ED1" w:rsidP="00313B5C">
      <w:pPr>
        <w:pStyle w:val="Balk1"/>
        <w:numPr>
          <w:ilvl w:val="0"/>
          <w:numId w:val="14"/>
        </w:numPr>
        <w:spacing w:after="100" w:afterAutospacing="1" w:line="360" w:lineRule="auto"/>
        <w:jc w:val="both"/>
        <w:rPr>
          <w:rFonts w:ascii="Times New Roman" w:hAnsi="Times New Roman" w:cs="Times New Roman"/>
          <w:sz w:val="24"/>
          <w:szCs w:val="24"/>
        </w:rPr>
      </w:pPr>
      <w:bookmarkStart w:id="36" w:name="_Toc42430902"/>
      <w:r w:rsidRPr="00313B5C">
        <w:rPr>
          <w:rFonts w:ascii="Times New Roman" w:hAnsi="Times New Roman" w:cs="Times New Roman"/>
          <w:sz w:val="24"/>
          <w:szCs w:val="24"/>
        </w:rPr>
        <w:t>SONUÇ</w:t>
      </w:r>
      <w:bookmarkEnd w:id="36"/>
    </w:p>
    <w:p w:rsidR="00F17ED1" w:rsidRPr="00313B5C" w:rsidRDefault="00F17ED1" w:rsidP="00313B5C">
      <w:pPr>
        <w:jc w:val="both"/>
        <w:rPr>
          <w:rFonts w:ascii="Times New Roman" w:hAnsi="Times New Roman" w:cs="Times New Roman"/>
          <w:spacing w:val="4"/>
          <w:sz w:val="24"/>
          <w:szCs w:val="24"/>
        </w:rPr>
      </w:pPr>
      <w:r w:rsidRPr="00313B5C">
        <w:rPr>
          <w:rFonts w:ascii="Times New Roman" w:hAnsi="Times New Roman" w:cs="Times New Roman"/>
          <w:sz w:val="24"/>
          <w:szCs w:val="24"/>
        </w:rPr>
        <w:t xml:space="preserve">Demografik açısından incelendiğinde genç ve dinamik nüfus oranının Türkiye’de ABD’ye oranla daha yüksek olduğu, buna karşın doğumda beklenen yaşam süresinin ABD’de daha fazla olduğu görülebilir. Nüfus dikkate alınarak uygulanan sağlık sistemlerinin/politikalarının iki ülke için farklı olması ve farklı yollarla finanse edilmeleri nedeniyle herhangi birinin diğerinden üstünlüğünü tartışmak yerine sağlığa ilişkin göstergelerin karşılaştırılması daha mantıklı olacaktır. Bu bağlamda incelendiğinde ABD güçlü bir ekonomiye sahip olması ve çoğunlukla </w:t>
      </w:r>
      <w:r w:rsidRPr="00313B5C">
        <w:rPr>
          <w:rFonts w:ascii="Times New Roman" w:hAnsi="Times New Roman" w:cs="Times New Roman"/>
          <w:spacing w:val="4"/>
          <w:sz w:val="24"/>
          <w:szCs w:val="24"/>
        </w:rPr>
        <w:t>bireysel ve doğrudan ödemeler ve/veya isteğe bağlı sigortalılık yoluyla finanse edilmesi nedeniyle, sağlık harcamalarının milli gelir içindeki payı Türkiye’ye oranla çok daha yüksektir (</w:t>
      </w:r>
      <w:proofErr w:type="spellStart"/>
      <w:r w:rsidRPr="00313B5C">
        <w:rPr>
          <w:rFonts w:ascii="Times New Roman" w:hAnsi="Times New Roman" w:cs="Times New Roman"/>
          <w:spacing w:val="4"/>
          <w:sz w:val="24"/>
          <w:szCs w:val="24"/>
        </w:rPr>
        <w:t>Sargutan</w:t>
      </w:r>
      <w:proofErr w:type="spellEnd"/>
      <w:r w:rsidRPr="00313B5C">
        <w:rPr>
          <w:rFonts w:ascii="Times New Roman" w:hAnsi="Times New Roman" w:cs="Times New Roman"/>
          <w:spacing w:val="4"/>
          <w:sz w:val="24"/>
          <w:szCs w:val="24"/>
        </w:rPr>
        <w:t xml:space="preserve">, 2005). </w:t>
      </w:r>
    </w:p>
    <w:p w:rsidR="00F17ED1" w:rsidRPr="00313B5C" w:rsidRDefault="00F17ED1" w:rsidP="00313B5C">
      <w:pPr>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 xml:space="preserve">Sağlık göstergelerinden olan 5 yaş altı ölüm oranı, </w:t>
      </w:r>
      <w:proofErr w:type="spellStart"/>
      <w:r w:rsidRPr="00313B5C">
        <w:rPr>
          <w:rFonts w:ascii="Times New Roman" w:hAnsi="Times New Roman" w:cs="Times New Roman"/>
          <w:spacing w:val="4"/>
          <w:sz w:val="24"/>
          <w:szCs w:val="24"/>
        </w:rPr>
        <w:t>yenidoğan</w:t>
      </w:r>
      <w:proofErr w:type="spellEnd"/>
      <w:r w:rsidRPr="00313B5C">
        <w:rPr>
          <w:rFonts w:ascii="Times New Roman" w:hAnsi="Times New Roman" w:cs="Times New Roman"/>
          <w:spacing w:val="4"/>
          <w:sz w:val="24"/>
          <w:szCs w:val="24"/>
        </w:rPr>
        <w:t xml:space="preserve"> ölüm oranı, bebek ölüm oranı gibi değerlere bakıldığında, Amerika’nın Türkiye’ye oranla daha iyi durumda olduğu görülmektedir. Türkiye için koruyucu sağlık hizmetleri her ne kadar iyi denilebilecek bir seviyede sunulsa da halk sağlığına yönelik yatırımların artırılması önemlidir. Bu açıdan üretim faaliyetlerinin desteklenmesi ülke ekonomisine pozitif katkı sağlarken, halk sağlığı alanındaki çalışmalar için daha fazla fon ayrılmasını mümkün kılacaktır.</w:t>
      </w:r>
    </w:p>
    <w:p w:rsidR="00F17ED1" w:rsidRPr="00313B5C" w:rsidRDefault="00F17ED1" w:rsidP="00313B5C">
      <w:pPr>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Doğumda beklenen yaşam sürelerinin zaman içinde yükselme eğiliminde olması, uzun dönemde, kademeli olarak yaşlı nüfusun artması anlamına gelmektedir ve bu artış sağlık sektöründe yeni ihtiyaçların ortaya çıkması demektir. Bu durumda sağlık politikalarının oluşabilecek yeni ihtiyaçları karşılayabilecek potansiyelde hazırlanmaları faydalı olacaktır.</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spacing w:val="4"/>
          <w:sz w:val="24"/>
          <w:szCs w:val="24"/>
        </w:rPr>
        <w:t>Hastane yatak sayıları açısından değerlendirildiğinde Türkiye’de küçük dalgalanmaların yaşandığı dönemler olsa da artan bir seyir izlediği söylenebilir. Ancak ABD’de yatak sayılarının azalan bir grafik izlediği gözlenmektedir</w:t>
      </w:r>
      <w:r w:rsidRPr="00313B5C">
        <w:rPr>
          <w:rFonts w:ascii="Times New Roman" w:hAnsi="Times New Roman" w:cs="Times New Roman"/>
          <w:noProof/>
          <w:sz w:val="24"/>
          <w:szCs w:val="24"/>
        </w:rPr>
        <w:t xml:space="preserve"> (OECD Statistics, 2020).</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lastRenderedPageBreak/>
        <w:t xml:space="preserve">Koruyucu sağlık hizmetleri ele alındığında bağışıklama (aşılama) oranlarının her iki ülke için birbirine yakın ve yeterli düzeyde olduğu ancak Türkiye’nin daha iyi bir orana sahip olduğu söylenebilir (OECD Statistics, 2020). </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Sonuç olarak iki ülkenin sağlık yapıları farklılık gösterdiğinden dolayı sağlığı belirleyen faktörlerde de değişiklikler söz konusudur. Sağlığı belirleyen faktörler arasında davranış unsurları bulunmaktadır. İnsanların yemek yeme davranışları sağlıklarını da ciddi anlamda etkilemektedir. Yağ ve şeker tüketimleri çok fazla olan ABD’de doğal olarak obezite sorunu yaşanmaktadır. Yağ ve şeker tüketimlerinin azaltılması ve bireylerin sağlıklı yiyeceklere yönlendirilmesi ülke sağlığı açısından önem arz etmektedir. </w:t>
      </w:r>
    </w:p>
    <w:p w:rsidR="00F17ED1" w:rsidRPr="00313B5C" w:rsidRDefault="00F17ED1" w:rsidP="00313B5C">
      <w:pPr>
        <w:jc w:val="both"/>
        <w:rPr>
          <w:rFonts w:ascii="Times New Roman" w:hAnsi="Times New Roman" w:cs="Times New Roman"/>
          <w:spacing w:val="4"/>
          <w:sz w:val="24"/>
          <w:szCs w:val="24"/>
        </w:rPr>
      </w:pPr>
      <w:r w:rsidRPr="00313B5C">
        <w:rPr>
          <w:rFonts w:ascii="Times New Roman" w:hAnsi="Times New Roman" w:cs="Times New Roman"/>
          <w:spacing w:val="4"/>
          <w:sz w:val="24"/>
          <w:szCs w:val="24"/>
        </w:rPr>
        <w:t xml:space="preserve">Medikal teknoloji açısından ABD’nin kullandığı cihaz (MR, Tomografi, Mamografi, Gama kamerası vb.) sayısı Türkiye’ye oranla çok daha fazladır. Verilere göre Türkiye’de yeteri kadar medikal cihaz bulunmadığı görülmektedir. Gerekli yatırımlar yapılarak kişi başına düşen cihaz sayısı artırılmalı ve sağlık hizmeti sunumu için kullanılmalıdır </w:t>
      </w:r>
      <w:r w:rsidRPr="00313B5C">
        <w:rPr>
          <w:rFonts w:ascii="Times New Roman" w:hAnsi="Times New Roman" w:cs="Times New Roman"/>
          <w:noProof/>
          <w:sz w:val="24"/>
          <w:szCs w:val="24"/>
        </w:rPr>
        <w:t>(OECD Statistics, 2020).</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Sağlık hizmeti sunumunda Türkiye’de kamu sektörü ağırlıkta iken; ABD’de özel sektörün ağırlığı söz konusudur. İncelenen göstergeler açısından ortaya çıkan farklılıklarda sektör ağırlıklarının etkili olduğu düşünülmektedir. Hangi sektör ağırlıkta olursa olsun koruyucu sağlık hizmetlerinin ücretsiz olarak sunulmasıyla ülkelerin sağlık statüsünün önemli ölçüde iyileşeceği düşünülmektedir.</w:t>
      </w:r>
    </w:p>
    <w:p w:rsidR="00F17ED1" w:rsidRPr="00313B5C" w:rsidRDefault="00F17ED1" w:rsidP="00313B5C">
      <w:pPr>
        <w:jc w:val="both"/>
        <w:rPr>
          <w:rFonts w:ascii="Times New Roman" w:hAnsi="Times New Roman" w:cs="Times New Roman"/>
          <w:noProof/>
          <w:sz w:val="24"/>
          <w:szCs w:val="24"/>
        </w:rPr>
      </w:pPr>
      <w:r w:rsidRPr="00313B5C">
        <w:rPr>
          <w:rFonts w:ascii="Times New Roman" w:hAnsi="Times New Roman" w:cs="Times New Roman"/>
          <w:noProof/>
          <w:sz w:val="24"/>
          <w:szCs w:val="24"/>
        </w:rPr>
        <w:t>Daha fazla değişkenle veya daha spesifik bir alana yönelik veriler karşılaştırılarak hazırlanacak çalışmalar önerilebilir. Sağlık sistemlerinin karşılaştırılmasına yönelik çalışmalar incelenip, ele alınmayan değişkenler ve güncel olmayan veriler dikkate alınarak yeni çalışmalar gerçekleştirilip, alanyazına katkı sağlanabilir.</w:t>
      </w:r>
    </w:p>
    <w:bookmarkStart w:id="37" w:name="_Toc42430903" w:displacedByCustomXml="next"/>
    <w:sdt>
      <w:sdtPr>
        <w:rPr>
          <w:rFonts w:ascii="Times New Roman" w:eastAsiaTheme="minorHAnsi" w:hAnsi="Times New Roman" w:cs="Times New Roman"/>
          <w:b/>
          <w:color w:val="auto"/>
          <w:sz w:val="24"/>
          <w:szCs w:val="24"/>
          <w:lang w:eastAsia="en-US"/>
        </w:rPr>
        <w:id w:val="197986797"/>
        <w:docPartObj>
          <w:docPartGallery w:val="Bibliographies"/>
          <w:docPartUnique/>
        </w:docPartObj>
      </w:sdtPr>
      <w:sdtEndPr>
        <w:rPr>
          <w:b w:val="0"/>
        </w:rPr>
      </w:sdtEndPr>
      <w:sdtContent>
        <w:bookmarkStart w:id="38" w:name="_Toc32685146" w:displacedByCustomXml="prev"/>
        <w:p w:rsidR="00F17ED1" w:rsidRPr="00313B5C" w:rsidRDefault="00F17ED1" w:rsidP="00313B5C">
          <w:pPr>
            <w:pStyle w:val="Balk1"/>
            <w:numPr>
              <w:ilvl w:val="0"/>
              <w:numId w:val="14"/>
            </w:numPr>
            <w:spacing w:after="100" w:afterAutospacing="1" w:line="360" w:lineRule="auto"/>
            <w:jc w:val="both"/>
            <w:rPr>
              <w:rFonts w:ascii="Times New Roman" w:hAnsi="Times New Roman" w:cs="Times New Roman"/>
              <w:sz w:val="24"/>
              <w:szCs w:val="24"/>
            </w:rPr>
          </w:pPr>
          <w:r w:rsidRPr="00313B5C">
            <w:rPr>
              <w:rFonts w:ascii="Times New Roman" w:hAnsi="Times New Roman" w:cs="Times New Roman"/>
              <w:sz w:val="24"/>
              <w:szCs w:val="24"/>
            </w:rPr>
            <w:t>KAYNAKÇA</w:t>
          </w:r>
          <w:bookmarkEnd w:id="37"/>
          <w:bookmarkEnd w:id="38"/>
        </w:p>
        <w:sdt>
          <w:sdtPr>
            <w:rPr>
              <w:rFonts w:ascii="Times New Roman" w:hAnsi="Times New Roman" w:cs="Times New Roman"/>
              <w:sz w:val="24"/>
              <w:szCs w:val="24"/>
            </w:rPr>
            <w:id w:val="111145805"/>
            <w:bibliography/>
          </w:sdtPr>
          <w:sdtEndPr/>
          <w:sdtContent>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sz w:val="24"/>
                  <w:szCs w:val="24"/>
                </w:rPr>
                <w:fldChar w:fldCharType="begin"/>
              </w:r>
              <w:r w:rsidRPr="00313B5C">
                <w:rPr>
                  <w:rFonts w:ascii="Times New Roman" w:hAnsi="Times New Roman" w:cs="Times New Roman"/>
                  <w:sz w:val="24"/>
                  <w:szCs w:val="24"/>
                </w:rPr>
                <w:instrText>BIBLIOGRAPHY</w:instrText>
              </w:r>
              <w:r w:rsidRPr="00313B5C">
                <w:rPr>
                  <w:rFonts w:ascii="Times New Roman" w:hAnsi="Times New Roman" w:cs="Times New Roman"/>
                  <w:sz w:val="24"/>
                  <w:szCs w:val="24"/>
                </w:rPr>
                <w:fldChar w:fldCharType="separate"/>
              </w:r>
              <w:r w:rsidRPr="00313B5C">
                <w:rPr>
                  <w:rFonts w:ascii="Times New Roman" w:hAnsi="Times New Roman" w:cs="Times New Roman"/>
                  <w:noProof/>
                  <w:sz w:val="24"/>
                  <w:szCs w:val="24"/>
                </w:rPr>
                <w:t>(2019). Şubat 17, 2020 tarihinde An Ofical Website of the United States Goverment: https://www.usa.gov/history#item-37632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(2019). Şubat 17, 2020 tarihinde OECD Reports: https://www.oecd.org/unitedstates/health-at-a-glance-united-states-EN.pdf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(2020). Şubat 16, 2020 tarihinde Encyclopaedia Britannica: https://www.britannica.com/place/United-States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Blue Cross Blue Shield</w:t>
              </w:r>
              <w:r w:rsidRPr="00313B5C">
                <w:rPr>
                  <w:rFonts w:ascii="Times New Roman" w:hAnsi="Times New Roman" w:cs="Times New Roman"/>
                  <w:noProof/>
                  <w:sz w:val="24"/>
                  <w:szCs w:val="24"/>
                </w:rPr>
                <w:t>. (2020). Şubat 18, 2020 tarihinde https://www.bcbs.com/about-us/the-blue-cross-blue-shield-system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Encyclopaedia Britannica</w:t>
              </w:r>
              <w:r w:rsidRPr="00313B5C">
                <w:rPr>
                  <w:rFonts w:ascii="Times New Roman" w:hAnsi="Times New Roman" w:cs="Times New Roman"/>
                  <w:noProof/>
                  <w:sz w:val="24"/>
                  <w:szCs w:val="24"/>
                </w:rPr>
                <w:t>. (2019). Şubat 17, 2020 tarihinde https://www.britannica.com/place/United-States/Presidents-of-the-United-States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Health Care</w:t>
              </w:r>
              <w:r w:rsidRPr="00313B5C">
                <w:rPr>
                  <w:rFonts w:ascii="Times New Roman" w:hAnsi="Times New Roman" w:cs="Times New Roman"/>
                  <w:noProof/>
                  <w:sz w:val="24"/>
                  <w:szCs w:val="24"/>
                </w:rPr>
                <w:t>. (2020). Şubat 22, 2020 tarihinde https://www.healthcare.gov/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(2018). </w:t>
              </w:r>
              <w:r w:rsidRPr="00313B5C">
                <w:rPr>
                  <w:rFonts w:ascii="Times New Roman" w:hAnsi="Times New Roman" w:cs="Times New Roman"/>
                  <w:i/>
                  <w:iCs/>
                  <w:noProof/>
                  <w:sz w:val="24"/>
                  <w:szCs w:val="24"/>
                </w:rPr>
                <w:t>Health, United States.</w:t>
              </w:r>
              <w:r w:rsidRPr="00313B5C">
                <w:rPr>
                  <w:rFonts w:ascii="Times New Roman" w:hAnsi="Times New Roman" w:cs="Times New Roman"/>
                  <w:noProof/>
                  <w:sz w:val="24"/>
                  <w:szCs w:val="24"/>
                </w:rPr>
                <w:t xml:space="preserve"> U.S. Department of Health and Human Services.</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Medicaid</w:t>
              </w:r>
              <w:r w:rsidRPr="00313B5C">
                <w:rPr>
                  <w:rFonts w:ascii="Times New Roman" w:hAnsi="Times New Roman" w:cs="Times New Roman"/>
                  <w:noProof/>
                  <w:sz w:val="24"/>
                  <w:szCs w:val="24"/>
                </w:rPr>
                <w:t>. (2020). Şubat 21, 2020 tarihinde https://www.medicaid.gov/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lastRenderedPageBreak/>
                <w:t>Medicare</w:t>
              </w:r>
              <w:r w:rsidRPr="00313B5C">
                <w:rPr>
                  <w:rFonts w:ascii="Times New Roman" w:hAnsi="Times New Roman" w:cs="Times New Roman"/>
                  <w:noProof/>
                  <w:sz w:val="24"/>
                  <w:szCs w:val="24"/>
                </w:rPr>
                <w:t>. (2020). Şubat 21, 2020 tarihinde The Offical U.S. Government Site for Medicare: https://www.medicare.gov/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Mossialos, E., Djordjevic, A., Osborn, R., &amp; Sarnak, D. (2017). </w:t>
              </w:r>
              <w:r w:rsidRPr="00313B5C">
                <w:rPr>
                  <w:rFonts w:ascii="Times New Roman" w:hAnsi="Times New Roman" w:cs="Times New Roman"/>
                  <w:i/>
                  <w:iCs/>
                  <w:noProof/>
                  <w:sz w:val="24"/>
                  <w:szCs w:val="24"/>
                </w:rPr>
                <w:t>International Profiles of Health Care Systems.</w:t>
              </w:r>
              <w:r w:rsidRPr="00313B5C">
                <w:rPr>
                  <w:rFonts w:ascii="Times New Roman" w:hAnsi="Times New Roman" w:cs="Times New Roman"/>
                  <w:noProof/>
                  <w:sz w:val="24"/>
                  <w:szCs w:val="24"/>
                </w:rPr>
                <w:t xml:space="preserve"> Şubat 21, 2020 tarihinde https://www.commonwealthfund.org/sites/default/files/documents/___media_files_publications_fund_report_2017_may_mossialos_intl_profiles_v5.pdf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OECD. (2019). </w:t>
              </w:r>
              <w:r w:rsidRPr="00313B5C">
                <w:rPr>
                  <w:rFonts w:ascii="Times New Roman" w:hAnsi="Times New Roman" w:cs="Times New Roman"/>
                  <w:i/>
                  <w:iCs/>
                  <w:noProof/>
                  <w:sz w:val="24"/>
                  <w:szCs w:val="24"/>
                </w:rPr>
                <w:t>Health at a Glance: OECD Indicators.</w:t>
              </w:r>
              <w:r w:rsidRPr="00313B5C">
                <w:rPr>
                  <w:rFonts w:ascii="Times New Roman" w:hAnsi="Times New Roman" w:cs="Times New Roman"/>
                  <w:noProof/>
                  <w:sz w:val="24"/>
                  <w:szCs w:val="24"/>
                </w:rPr>
                <w:t xml:space="preserve"> </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OECD Statistics</w:t>
              </w:r>
              <w:r w:rsidRPr="00313B5C">
                <w:rPr>
                  <w:rFonts w:ascii="Times New Roman" w:hAnsi="Times New Roman" w:cs="Times New Roman"/>
                  <w:noProof/>
                  <w:sz w:val="24"/>
                  <w:szCs w:val="24"/>
                </w:rPr>
                <w:t>. (2020). Şubat 22, 2020 tarihinde https://stats.oecd.org/#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Sargutan, E. (2005). Sağlık Sektörü ve Sağlık Sistemlerinin Yapısı. </w:t>
              </w:r>
              <w:r w:rsidRPr="00313B5C">
                <w:rPr>
                  <w:rFonts w:ascii="Times New Roman" w:hAnsi="Times New Roman" w:cs="Times New Roman"/>
                  <w:i/>
                  <w:iCs/>
                  <w:noProof/>
                  <w:sz w:val="24"/>
                  <w:szCs w:val="24"/>
                </w:rPr>
                <w:t>Hacettepe Sağlık İdaresi Dergisi, 8</w:t>
              </w:r>
              <w:r w:rsidRPr="00313B5C">
                <w:rPr>
                  <w:rFonts w:ascii="Times New Roman" w:hAnsi="Times New Roman" w:cs="Times New Roman"/>
                  <w:noProof/>
                  <w:sz w:val="24"/>
                  <w:szCs w:val="24"/>
                </w:rPr>
                <w:t>(3).</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Sargutan, E. (2006). </w:t>
              </w:r>
              <w:r w:rsidRPr="00313B5C">
                <w:rPr>
                  <w:rFonts w:ascii="Times New Roman" w:hAnsi="Times New Roman" w:cs="Times New Roman"/>
                  <w:i/>
                  <w:iCs/>
                  <w:noProof/>
                  <w:sz w:val="24"/>
                  <w:szCs w:val="24"/>
                </w:rPr>
                <w:t>Amerika Birleşik Devletleri Sağlık Sistemi.</w:t>
              </w:r>
              <w:r w:rsidRPr="00313B5C">
                <w:rPr>
                  <w:rFonts w:ascii="Times New Roman" w:hAnsi="Times New Roman" w:cs="Times New Roman"/>
                  <w:noProof/>
                  <w:sz w:val="24"/>
                  <w:szCs w:val="24"/>
                </w:rPr>
                <w:t xml:space="preserve"> Ankara: Hacettepe Üniversitesi Yayınları.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Semega, J., Kollar, M., Creamer, J., &amp; Mohanty, A. (2019). </w:t>
              </w:r>
              <w:r w:rsidRPr="00313B5C">
                <w:rPr>
                  <w:rFonts w:ascii="Times New Roman" w:hAnsi="Times New Roman" w:cs="Times New Roman"/>
                  <w:i/>
                  <w:iCs/>
                  <w:noProof/>
                  <w:sz w:val="24"/>
                  <w:szCs w:val="24"/>
                </w:rPr>
                <w:t>Income and Poverty in the United States:2018.</w:t>
              </w:r>
              <w:r w:rsidRPr="00313B5C">
                <w:rPr>
                  <w:rFonts w:ascii="Times New Roman" w:hAnsi="Times New Roman" w:cs="Times New Roman"/>
                  <w:noProof/>
                  <w:sz w:val="24"/>
                  <w:szCs w:val="24"/>
                </w:rPr>
                <w:t xml:space="preserve"> United States Census Bureau.</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The College of Physicians of Philadelphia</w:t>
              </w:r>
              <w:r w:rsidRPr="00313B5C">
                <w:rPr>
                  <w:rFonts w:ascii="Times New Roman" w:hAnsi="Times New Roman" w:cs="Times New Roman"/>
                  <w:noProof/>
                  <w:sz w:val="24"/>
                  <w:szCs w:val="24"/>
                </w:rPr>
                <w:t>. (2020). Şubat 18, 2020 tarihinde https://collegeofphysicians.org/about-us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The World Bank</w:t>
              </w:r>
              <w:r w:rsidRPr="00313B5C">
                <w:rPr>
                  <w:rFonts w:ascii="Times New Roman" w:hAnsi="Times New Roman" w:cs="Times New Roman"/>
                  <w:noProof/>
                  <w:sz w:val="24"/>
                  <w:szCs w:val="24"/>
                </w:rPr>
                <w:t>. (2019). Şubat 16, 2020 tarihinde https://data.worldbank.org/indicator/?tab=all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U.S Department of Veterans Affairs</w:t>
              </w:r>
              <w:r w:rsidRPr="00313B5C">
                <w:rPr>
                  <w:rFonts w:ascii="Times New Roman" w:hAnsi="Times New Roman" w:cs="Times New Roman"/>
                  <w:noProof/>
                  <w:sz w:val="24"/>
                  <w:szCs w:val="24"/>
                </w:rPr>
                <w:t>. (2019). Şubat 22, 2020 tarihinde https://www.va.gov/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 xml:space="preserve">U.S. Department of Health &amp; Human Services </w:t>
              </w:r>
              <w:r w:rsidRPr="00313B5C">
                <w:rPr>
                  <w:rFonts w:ascii="Times New Roman" w:hAnsi="Times New Roman" w:cs="Times New Roman"/>
                  <w:noProof/>
                  <w:sz w:val="24"/>
                  <w:szCs w:val="24"/>
                </w:rPr>
                <w:t>. (2020). Şubat 20, 2020 tarihinde https://www.hhs.gov/about/agencies/hhs-agencies-and-offices/index.html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U.S. Department of Health &amp; Human Services</w:t>
              </w:r>
              <w:r w:rsidRPr="00313B5C">
                <w:rPr>
                  <w:rFonts w:ascii="Times New Roman" w:hAnsi="Times New Roman" w:cs="Times New Roman"/>
                  <w:noProof/>
                  <w:sz w:val="24"/>
                  <w:szCs w:val="24"/>
                </w:rPr>
                <w:t>. (2020). Şubat 20, 2020 tarihinde https://www.hhs.gov/about/index.html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U.S. Department of Health &amp; Human Services</w:t>
              </w:r>
              <w:r w:rsidRPr="00313B5C">
                <w:rPr>
                  <w:rFonts w:ascii="Times New Roman" w:hAnsi="Times New Roman" w:cs="Times New Roman"/>
                  <w:noProof/>
                  <w:sz w:val="24"/>
                  <w:szCs w:val="24"/>
                </w:rPr>
                <w:t>. (2020). Şubat 20, 2020 tarihinde https://www.hhs.gov/about/budget/fy2020/index.html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U.S. Department of Health &amp; Human Services</w:t>
              </w:r>
              <w:r w:rsidRPr="00313B5C">
                <w:rPr>
                  <w:rFonts w:ascii="Times New Roman" w:hAnsi="Times New Roman" w:cs="Times New Roman"/>
                  <w:noProof/>
                  <w:sz w:val="24"/>
                  <w:szCs w:val="24"/>
                </w:rPr>
                <w:t>. (2020). Şubat 20, 2020 tarihinde https://www.hhs.gov/about/agencies/orgchart/index.html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Uğurluoğlu, Ö., &amp; Çelik, Y. (2005). Sağlık Sistemleri Performans Ölçümü,Önemi ve Dünya Sağlık Örgütü Yaklaşımı. </w:t>
              </w:r>
              <w:r w:rsidRPr="00313B5C">
                <w:rPr>
                  <w:rFonts w:ascii="Times New Roman" w:hAnsi="Times New Roman" w:cs="Times New Roman"/>
                  <w:i/>
                  <w:iCs/>
                  <w:noProof/>
                  <w:sz w:val="24"/>
                  <w:szCs w:val="24"/>
                </w:rPr>
                <w:t>Hacettepe Sağlık İdaresi Dergisi, 8</w:t>
              </w:r>
              <w:r w:rsidRPr="00313B5C">
                <w:rPr>
                  <w:rFonts w:ascii="Times New Roman" w:hAnsi="Times New Roman" w:cs="Times New Roman"/>
                  <w:noProof/>
                  <w:sz w:val="24"/>
                  <w:szCs w:val="24"/>
                </w:rPr>
                <w:t>(1).</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United States Census Bureau.</w:t>
              </w:r>
              <w:r w:rsidRPr="00313B5C">
                <w:rPr>
                  <w:rFonts w:ascii="Times New Roman" w:hAnsi="Times New Roman" w:cs="Times New Roman"/>
                  <w:noProof/>
                  <w:sz w:val="24"/>
                  <w:szCs w:val="24"/>
                </w:rPr>
                <w:t xml:space="preserve"> (2020). Şubat 20, 2020 tarihinde https://www2.census.gov/programs-surveys/cps/techdocs/cpsmar19.pdf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United States Census Bureau</w:t>
              </w:r>
              <w:r w:rsidRPr="00313B5C">
                <w:rPr>
                  <w:rFonts w:ascii="Times New Roman" w:hAnsi="Times New Roman" w:cs="Times New Roman"/>
                  <w:noProof/>
                  <w:sz w:val="24"/>
                  <w:szCs w:val="24"/>
                </w:rPr>
                <w:t>. (2020). Şubat 22, 2020 tarihinde https://www.census.gov/quickfacts/fact/table/US/HEA775218#HEA775218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lastRenderedPageBreak/>
                <w:t>US National Library of Medicine</w:t>
              </w:r>
              <w:r w:rsidRPr="00313B5C">
                <w:rPr>
                  <w:rFonts w:ascii="Times New Roman" w:hAnsi="Times New Roman" w:cs="Times New Roman"/>
                  <w:noProof/>
                  <w:sz w:val="24"/>
                  <w:szCs w:val="24"/>
                </w:rPr>
                <w:t>. (2011). Şubat 18, 2020 tarihinde https://www.ncbi.nlm.nih.gov/pmc/articles/PMC3178858/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i/>
                  <w:iCs/>
                  <w:noProof/>
                  <w:sz w:val="24"/>
                  <w:szCs w:val="24"/>
                </w:rPr>
                <w:t>WHO</w:t>
              </w:r>
              <w:r w:rsidRPr="00313B5C">
                <w:rPr>
                  <w:rFonts w:ascii="Times New Roman" w:hAnsi="Times New Roman" w:cs="Times New Roman"/>
                  <w:noProof/>
                  <w:sz w:val="24"/>
                  <w:szCs w:val="24"/>
                </w:rPr>
                <w:t>. (2020). Şubat 22, 2020 tarihinde https://www.who.int/data/gho adresinden alındı</w:t>
              </w:r>
            </w:p>
            <w:p w:rsidR="00F17ED1" w:rsidRPr="00313B5C" w:rsidRDefault="00F17ED1" w:rsidP="00313B5C">
              <w:pPr>
                <w:pStyle w:val="Kaynaka"/>
                <w:ind w:left="720" w:hanging="720"/>
                <w:jc w:val="both"/>
                <w:rPr>
                  <w:rFonts w:ascii="Times New Roman" w:hAnsi="Times New Roman" w:cs="Times New Roman"/>
                  <w:noProof/>
                  <w:sz w:val="24"/>
                  <w:szCs w:val="24"/>
                </w:rPr>
              </w:pPr>
              <w:r w:rsidRPr="00313B5C">
                <w:rPr>
                  <w:rFonts w:ascii="Times New Roman" w:hAnsi="Times New Roman" w:cs="Times New Roman"/>
                  <w:noProof/>
                  <w:sz w:val="24"/>
                  <w:szCs w:val="24"/>
                </w:rPr>
                <w:t xml:space="preserve">World Health Organisation. (2000). </w:t>
              </w:r>
              <w:r w:rsidRPr="00313B5C">
                <w:rPr>
                  <w:rFonts w:ascii="Times New Roman" w:hAnsi="Times New Roman" w:cs="Times New Roman"/>
                  <w:i/>
                  <w:iCs/>
                  <w:noProof/>
                  <w:sz w:val="24"/>
                  <w:szCs w:val="24"/>
                </w:rPr>
                <w:t>The World Health Report 2000 - Health Systems: Improving Performance.</w:t>
              </w:r>
              <w:r w:rsidRPr="00313B5C">
                <w:rPr>
                  <w:rFonts w:ascii="Times New Roman" w:hAnsi="Times New Roman" w:cs="Times New Roman"/>
                  <w:noProof/>
                  <w:sz w:val="24"/>
                  <w:szCs w:val="24"/>
                </w:rPr>
                <w:t xml:space="preserve"> Geneva.</w:t>
              </w:r>
            </w:p>
            <w:p w:rsidR="00F17ED1" w:rsidRPr="00313B5C" w:rsidRDefault="00F17ED1" w:rsidP="00313B5C">
              <w:pPr>
                <w:spacing w:after="120" w:line="240" w:lineRule="auto"/>
                <w:jc w:val="both"/>
                <w:rPr>
                  <w:rFonts w:ascii="Times New Roman" w:hAnsi="Times New Roman" w:cs="Times New Roman"/>
                  <w:sz w:val="24"/>
                  <w:szCs w:val="24"/>
                </w:rPr>
              </w:pPr>
              <w:r w:rsidRPr="00313B5C">
                <w:rPr>
                  <w:rFonts w:ascii="Times New Roman" w:hAnsi="Times New Roman" w:cs="Times New Roman"/>
                  <w:b/>
                  <w:bCs/>
                  <w:sz w:val="24"/>
                  <w:szCs w:val="24"/>
                </w:rPr>
                <w:fldChar w:fldCharType="end"/>
              </w:r>
            </w:p>
          </w:sdtContent>
        </w:sdt>
      </w:sdtContent>
    </w:sdt>
    <w:p w:rsidR="00F17ED1" w:rsidRPr="00313B5C" w:rsidRDefault="00F17ED1" w:rsidP="00313B5C">
      <w:pPr>
        <w:jc w:val="both"/>
        <w:rPr>
          <w:rFonts w:ascii="Times New Roman" w:hAnsi="Times New Roman" w:cs="Times New Roman"/>
          <w:sz w:val="24"/>
          <w:szCs w:val="24"/>
        </w:rPr>
      </w:pPr>
    </w:p>
    <w:p w:rsidR="00F17ED1" w:rsidRPr="00313B5C" w:rsidRDefault="00F17ED1" w:rsidP="00313B5C">
      <w:pPr>
        <w:spacing w:line="360" w:lineRule="auto"/>
        <w:jc w:val="both"/>
        <w:rPr>
          <w:rFonts w:ascii="Times New Roman" w:hAnsi="Times New Roman" w:cs="Times New Roman"/>
          <w:b/>
          <w:sz w:val="24"/>
          <w:szCs w:val="24"/>
        </w:rPr>
      </w:pPr>
    </w:p>
    <w:p w:rsidR="00F17ED1" w:rsidRPr="00313B5C" w:rsidRDefault="00F17ED1" w:rsidP="00313B5C">
      <w:pPr>
        <w:spacing w:line="360" w:lineRule="auto"/>
        <w:ind w:left="360"/>
        <w:jc w:val="both"/>
        <w:rPr>
          <w:rFonts w:ascii="Times New Roman" w:hAnsi="Times New Roman" w:cs="Times New Roman"/>
          <w:b/>
          <w:sz w:val="24"/>
          <w:szCs w:val="24"/>
        </w:rPr>
      </w:pPr>
    </w:p>
    <w:sectPr w:rsidR="00F17ED1" w:rsidRPr="00313B5C" w:rsidSect="00F17ED1">
      <w:headerReference w:type="default" r:id="rId2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A5" w:rsidRDefault="00F87DA5" w:rsidP="00D738E1">
      <w:pPr>
        <w:spacing w:after="0" w:line="240" w:lineRule="auto"/>
      </w:pPr>
      <w:r>
        <w:separator/>
      </w:r>
    </w:p>
  </w:endnote>
  <w:endnote w:type="continuationSeparator" w:id="0">
    <w:p w:rsidR="00F87DA5" w:rsidRDefault="00F87DA5" w:rsidP="00D7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768409"/>
      <w:docPartObj>
        <w:docPartGallery w:val="Page Numbers (Bottom of Page)"/>
        <w:docPartUnique/>
      </w:docPartObj>
    </w:sdtPr>
    <w:sdtEndPr/>
    <w:sdtContent>
      <w:p w:rsidR="00113C76" w:rsidRDefault="00113C76">
        <w:pPr>
          <w:pStyle w:val="AltBilgi"/>
          <w:jc w:val="right"/>
        </w:pPr>
        <w:r>
          <w:fldChar w:fldCharType="begin"/>
        </w:r>
        <w:r>
          <w:instrText>PAGE   \* MERGEFORMAT</w:instrText>
        </w:r>
        <w:r>
          <w:fldChar w:fldCharType="separate"/>
        </w:r>
        <w:r w:rsidR="00D228AE">
          <w:rPr>
            <w:noProof/>
          </w:rPr>
          <w:t>30</w:t>
        </w:r>
        <w:r>
          <w:fldChar w:fldCharType="end"/>
        </w:r>
      </w:p>
    </w:sdtContent>
  </w:sdt>
  <w:p w:rsidR="00113C76" w:rsidRDefault="00113C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2729"/>
      <w:docPartObj>
        <w:docPartGallery w:val="Page Numbers (Bottom of Page)"/>
        <w:docPartUnique/>
      </w:docPartObj>
    </w:sdtPr>
    <w:sdtEndPr/>
    <w:sdtContent>
      <w:p w:rsidR="00113C76" w:rsidRDefault="00113C76">
        <w:pPr>
          <w:pStyle w:val="AltBilgi"/>
          <w:jc w:val="right"/>
        </w:pPr>
        <w:r>
          <w:fldChar w:fldCharType="begin"/>
        </w:r>
        <w:r>
          <w:instrText>PAGE   \* MERGEFORMAT</w:instrText>
        </w:r>
        <w:r>
          <w:fldChar w:fldCharType="separate"/>
        </w:r>
        <w:r w:rsidR="00D228AE">
          <w:rPr>
            <w:noProof/>
          </w:rPr>
          <w:t>15</w:t>
        </w:r>
        <w:r>
          <w:fldChar w:fldCharType="end"/>
        </w:r>
      </w:p>
    </w:sdtContent>
  </w:sdt>
  <w:p w:rsidR="00113C76" w:rsidRDefault="00113C7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20406"/>
      <w:docPartObj>
        <w:docPartGallery w:val="Page Numbers (Bottom of Page)"/>
        <w:docPartUnique/>
      </w:docPartObj>
    </w:sdtPr>
    <w:sdtEndPr/>
    <w:sdtContent>
      <w:p w:rsidR="00F17ED1" w:rsidRDefault="00F17ED1">
        <w:pPr>
          <w:pStyle w:val="AltBilgi"/>
          <w:jc w:val="center"/>
        </w:pPr>
        <w:r>
          <w:fldChar w:fldCharType="begin"/>
        </w:r>
        <w:r>
          <w:instrText>PAGE   \* MERGEFORMAT</w:instrText>
        </w:r>
        <w:r>
          <w:fldChar w:fldCharType="separate"/>
        </w:r>
        <w:r w:rsidR="00D228AE">
          <w:rPr>
            <w:noProof/>
          </w:rPr>
          <w:t>31</w:t>
        </w:r>
        <w:r>
          <w:fldChar w:fldCharType="end"/>
        </w:r>
      </w:p>
    </w:sdtContent>
  </w:sdt>
  <w:p w:rsidR="00F17ED1" w:rsidRDefault="00F17E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A5" w:rsidRDefault="00F87DA5" w:rsidP="00D738E1">
      <w:pPr>
        <w:spacing w:after="0" w:line="240" w:lineRule="auto"/>
      </w:pPr>
      <w:r>
        <w:separator/>
      </w:r>
    </w:p>
  </w:footnote>
  <w:footnote w:type="continuationSeparator" w:id="0">
    <w:p w:rsidR="00F87DA5" w:rsidRDefault="00F87DA5" w:rsidP="00D738E1">
      <w:pPr>
        <w:spacing w:after="0" w:line="240" w:lineRule="auto"/>
      </w:pPr>
      <w:r>
        <w:continuationSeparator/>
      </w:r>
    </w:p>
  </w:footnote>
  <w:footnote w:id="1">
    <w:p w:rsidR="00F17ED1" w:rsidRPr="00743DDF" w:rsidRDefault="00F17ED1" w:rsidP="00F17ED1">
      <w:pPr>
        <w:pStyle w:val="DipnotMetni"/>
        <w:rPr>
          <w:rFonts w:ascii="Times New Roman" w:hAnsi="Times New Roman"/>
        </w:rPr>
      </w:pPr>
      <w:r w:rsidRPr="00743DDF">
        <w:rPr>
          <w:rStyle w:val="DipnotBavurusu"/>
          <w:rFonts w:ascii="Times New Roman" w:hAnsi="Times New Roman"/>
        </w:rPr>
        <w:footnoteRef/>
      </w:r>
      <w:r w:rsidRPr="00743DDF">
        <w:rPr>
          <w:rFonts w:ascii="Times New Roman" w:hAnsi="Times New Roman"/>
        </w:rPr>
        <w:t xml:space="preserve"> Yozgat Bozok Üniversitesi, </w:t>
      </w:r>
      <w:hyperlink r:id="rId1" w:history="1">
        <w:r w:rsidRPr="00743DDF">
          <w:rPr>
            <w:rFonts w:ascii="Times New Roman" w:hAnsi="Times New Roman"/>
          </w:rPr>
          <w:t>hsngrl44@gmail.com</w:t>
        </w:r>
      </w:hyperlink>
      <w:r w:rsidRPr="00743DDF">
        <w:rPr>
          <w:rFonts w:ascii="Times New Roman" w:hAnsi="Times New Roman"/>
        </w:rPr>
        <w:t>, ORCID: 0000-0003-3932-0442</w:t>
      </w:r>
    </w:p>
  </w:footnote>
  <w:footnote w:id="2">
    <w:p w:rsidR="00F17ED1" w:rsidRPr="00743DDF" w:rsidRDefault="00F17ED1" w:rsidP="00F17ED1">
      <w:pPr>
        <w:pStyle w:val="DipnotMetni"/>
        <w:rPr>
          <w:rFonts w:ascii="Times New Roman" w:hAnsi="Times New Roman"/>
        </w:rPr>
      </w:pPr>
      <w:r w:rsidRPr="00743DDF">
        <w:rPr>
          <w:rStyle w:val="DipnotBavurusu"/>
          <w:rFonts w:ascii="Times New Roman" w:hAnsi="Times New Roman"/>
        </w:rPr>
        <w:footnoteRef/>
      </w:r>
      <w:r w:rsidRPr="00743DDF">
        <w:rPr>
          <w:rFonts w:ascii="Times New Roman" w:hAnsi="Times New Roman"/>
        </w:rPr>
        <w:t xml:space="preserve"> Yozgat Bozok Üniversitesi, hanifearslan4343@gmail.com, ORCID: 0000-0002-1277-7138</w:t>
      </w:r>
    </w:p>
    <w:p w:rsidR="006C69BF" w:rsidRPr="00356082" w:rsidRDefault="006C69BF" w:rsidP="00F17ED1">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EB" w:rsidRPr="00150FE3" w:rsidRDefault="001E51EB" w:rsidP="001E51EB">
    <w:pPr>
      <w:spacing w:after="0"/>
      <w:jc w:val="right"/>
      <w:rPr>
        <w:rFonts w:ascii="Snap ITC" w:eastAsia="Yu Gothic UI" w:hAnsi="Snap ITC"/>
        <w:color w:val="808080" w:themeColor="background1" w:themeShade="80"/>
        <w:sz w:val="20"/>
        <w:szCs w:val="20"/>
      </w:rPr>
    </w:pPr>
    <w:r w:rsidRPr="00150FE3">
      <w:rPr>
        <w:rFonts w:ascii="Times New Roman" w:eastAsia="Yu Gothic UI" w:hAnsi="Times New Roman" w:cs="Times New Roman"/>
        <w:color w:val="808080" w:themeColor="background1" w:themeShade="80"/>
        <w:sz w:val="20"/>
        <w:szCs w:val="20"/>
      </w:rPr>
      <w:t>AHİ EVRAN</w:t>
    </w:r>
    <w:r w:rsidRPr="00150FE3">
      <w:rPr>
        <w:rFonts w:ascii="Snap ITC" w:eastAsia="Yu Gothic UI" w:hAnsi="Snap ITC"/>
        <w:color w:val="808080" w:themeColor="background1" w:themeShade="80"/>
        <w:sz w:val="20"/>
        <w:szCs w:val="20"/>
      </w:rPr>
      <w:t xml:space="preserve"> </w:t>
    </w:r>
    <w:proofErr w:type="spellStart"/>
    <w:r w:rsidRPr="00150FE3">
      <w:rPr>
        <w:rFonts w:ascii="Broadway" w:eastAsia="Yu Gothic UI" w:hAnsi="Broadway"/>
        <w:color w:val="808080" w:themeColor="background1" w:themeShade="80"/>
        <w:sz w:val="20"/>
        <w:szCs w:val="20"/>
      </w:rPr>
      <w:t>aKaDeMi</w:t>
    </w:r>
    <w:proofErr w:type="spellEnd"/>
    <w:r w:rsidRPr="001558C6">
      <w:rPr>
        <w:rFonts w:ascii="Times New Roman" w:hAnsi="Times New Roman" w:cs="Times New Roman"/>
        <w:sz w:val="20"/>
        <w:szCs w:val="20"/>
      </w:rPr>
      <w:t xml:space="preserve"> Cilt 1 / Sayı 2 / Aralık 2020</w:t>
    </w:r>
  </w:p>
  <w:p w:rsidR="001E51EB" w:rsidRDefault="001E51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E1" w:rsidRPr="00D738E1" w:rsidRDefault="00D738E1" w:rsidP="00D738E1">
    <w:pPr>
      <w:spacing w:after="0"/>
      <w:jc w:val="center"/>
      <w:rPr>
        <w:rFonts w:ascii="Snap ITC" w:eastAsia="Yu Gothic UI" w:hAnsi="Snap ITC"/>
        <w:color w:val="808080" w:themeColor="background1" w:themeShade="80"/>
        <w:sz w:val="80"/>
        <w:szCs w:val="80"/>
      </w:rPr>
    </w:pPr>
    <w:r w:rsidRPr="00D738E1">
      <w:rPr>
        <w:rFonts w:ascii="Times New Roman" w:eastAsia="Yu Gothic UI" w:hAnsi="Times New Roman" w:cs="Times New Roman"/>
        <w:color w:val="808080" w:themeColor="background1" w:themeShade="80"/>
        <w:sz w:val="80"/>
        <w:szCs w:val="80"/>
      </w:rPr>
      <w:t>AHİ EVRAN</w:t>
    </w:r>
    <w:r w:rsidRPr="00D738E1">
      <w:rPr>
        <w:rFonts w:ascii="Snap ITC" w:eastAsia="Yu Gothic UI" w:hAnsi="Snap ITC"/>
        <w:color w:val="808080" w:themeColor="background1" w:themeShade="80"/>
        <w:sz w:val="80"/>
        <w:szCs w:val="80"/>
      </w:rPr>
      <w:t xml:space="preserve"> </w:t>
    </w:r>
    <w:proofErr w:type="spellStart"/>
    <w:r w:rsidRPr="00D738E1">
      <w:rPr>
        <w:rFonts w:ascii="Broadway" w:eastAsia="Yu Gothic UI" w:hAnsi="Broadway"/>
        <w:color w:val="808080" w:themeColor="background1" w:themeShade="80"/>
        <w:sz w:val="80"/>
        <w:szCs w:val="80"/>
      </w:rPr>
      <w:t>aKaDeMi</w:t>
    </w:r>
    <w:proofErr w:type="spellEnd"/>
  </w:p>
  <w:p w:rsidR="00D738E1" w:rsidRPr="00D738E1" w:rsidRDefault="00D738E1" w:rsidP="00D738E1">
    <w:pPr>
      <w:spacing w:after="0"/>
      <w:jc w:val="center"/>
      <w:rPr>
        <w:rStyle w:val="Kpr"/>
        <w:color w:val="808080" w:themeColor="background1" w:themeShade="80"/>
      </w:rPr>
    </w:pPr>
    <w:r w:rsidRPr="00D738E1">
      <w:rPr>
        <w:rStyle w:val="Gl"/>
        <w:rFonts w:ascii="Segoe UI" w:hAnsi="Segoe UI" w:cs="Segoe UI"/>
        <w:color w:val="808080" w:themeColor="background1" w:themeShade="80"/>
        <w:u w:val="single"/>
        <w:shd w:val="clear" w:color="auto" w:fill="FFFFFF"/>
      </w:rPr>
      <w:t xml:space="preserve">ISSN </w:t>
    </w:r>
    <w:r w:rsidRPr="00D738E1">
      <w:rPr>
        <w:rFonts w:ascii="Segoe UI" w:hAnsi="Segoe UI" w:cs="Segoe UI"/>
        <w:color w:val="808080" w:themeColor="background1" w:themeShade="80"/>
        <w:u w:val="single"/>
        <w:shd w:val="clear" w:color="auto" w:fill="FFFFFF"/>
      </w:rPr>
      <w:t xml:space="preserve">2717-784X        I Cilt 1 </w:t>
    </w:r>
    <w:proofErr w:type="gramStart"/>
    <w:r w:rsidRPr="00D738E1">
      <w:rPr>
        <w:rFonts w:ascii="Segoe UI" w:hAnsi="Segoe UI" w:cs="Segoe UI"/>
        <w:color w:val="808080" w:themeColor="background1" w:themeShade="80"/>
        <w:u w:val="single"/>
        <w:shd w:val="clear" w:color="auto" w:fill="FFFFFF"/>
      </w:rPr>
      <w:t>I  Sayı</w:t>
    </w:r>
    <w:proofErr w:type="gramEnd"/>
    <w:r w:rsidRPr="00D738E1">
      <w:rPr>
        <w:rFonts w:ascii="Segoe UI" w:hAnsi="Segoe UI" w:cs="Segoe UI"/>
        <w:color w:val="808080" w:themeColor="background1" w:themeShade="80"/>
        <w:u w:val="single"/>
        <w:shd w:val="clear" w:color="auto" w:fill="FFFFFF"/>
      </w:rPr>
      <w:t xml:space="preserve"> 2  I</w:t>
    </w:r>
    <w:r w:rsidRPr="00D738E1">
      <w:rPr>
        <w:rFonts w:ascii="Broadway" w:hAnsi="Broadway"/>
        <w:color w:val="808080" w:themeColor="background1" w:themeShade="80"/>
        <w:sz w:val="72"/>
        <w:szCs w:val="72"/>
        <w:u w:val="single"/>
      </w:rPr>
      <w:t xml:space="preserve"> </w:t>
    </w:r>
    <w:r w:rsidRPr="00D738E1">
      <w:rPr>
        <w:rFonts w:ascii="Times New Roman" w:hAnsi="Times New Roman" w:cs="Times New Roman"/>
        <w:color w:val="808080" w:themeColor="background1" w:themeShade="80"/>
        <w:sz w:val="24"/>
        <w:szCs w:val="24"/>
        <w:u w:val="single"/>
      </w:rPr>
      <w:t xml:space="preserve">Aralık 2020 </w:t>
    </w:r>
    <w:r w:rsidRPr="00D738E1">
      <w:rPr>
        <w:rFonts w:ascii="Segoe UI" w:hAnsi="Segoe UI" w:cs="Segoe UI"/>
        <w:color w:val="808080" w:themeColor="background1" w:themeShade="80"/>
        <w:u w:val="single"/>
        <w:shd w:val="clear" w:color="auto" w:fill="FFFFFF"/>
      </w:rPr>
      <w:t>I</w:t>
    </w:r>
    <w:r w:rsidRPr="00D738E1">
      <w:rPr>
        <w:color w:val="808080" w:themeColor="background1" w:themeShade="80"/>
        <w:u w:val="single"/>
      </w:rPr>
      <w:t xml:space="preserve">       </w:t>
    </w:r>
    <w:hyperlink r:id="rId1" w:history="1">
      <w:r w:rsidRPr="00D738E1">
        <w:rPr>
          <w:rStyle w:val="Kpr"/>
          <w:color w:val="808080" w:themeColor="background1" w:themeShade="80"/>
        </w:rPr>
        <w:t>https://dergipark.org.tr/tr/pub/aea</w:t>
      </w:r>
    </w:hyperlink>
  </w:p>
  <w:p w:rsidR="00D738E1" w:rsidRDefault="00D738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E1" w:rsidRDefault="00D738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252"/>
    <w:multiLevelType w:val="hybridMultilevel"/>
    <w:tmpl w:val="687E339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B335DB0"/>
    <w:multiLevelType w:val="hybridMultilevel"/>
    <w:tmpl w:val="D93A2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9C6F65"/>
    <w:multiLevelType w:val="hybridMultilevel"/>
    <w:tmpl w:val="847048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6B3B9A"/>
    <w:multiLevelType w:val="multilevel"/>
    <w:tmpl w:val="F39080C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410769FA"/>
    <w:multiLevelType w:val="hybridMultilevel"/>
    <w:tmpl w:val="24BEC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E00CA3"/>
    <w:multiLevelType w:val="hybridMultilevel"/>
    <w:tmpl w:val="DE6A2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0D68B3"/>
    <w:multiLevelType w:val="hybridMultilevel"/>
    <w:tmpl w:val="BE2AED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96844EF"/>
    <w:multiLevelType w:val="hybridMultilevel"/>
    <w:tmpl w:val="1DEE74FE"/>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8" w15:restartNumberingAfterBreak="0">
    <w:nsid w:val="60DC33F1"/>
    <w:multiLevelType w:val="multilevel"/>
    <w:tmpl w:val="C6EA94A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96518"/>
    <w:multiLevelType w:val="hybridMultilevel"/>
    <w:tmpl w:val="4D5C2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8D2FDC"/>
    <w:multiLevelType w:val="hybridMultilevel"/>
    <w:tmpl w:val="7AE4DF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0F04F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025D8E"/>
    <w:multiLevelType w:val="multilevel"/>
    <w:tmpl w:val="04688A5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70F4F5D"/>
    <w:multiLevelType w:val="multilevel"/>
    <w:tmpl w:val="D91E175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4"/>
  </w:num>
  <w:num w:numId="4">
    <w:abstractNumId w:val="2"/>
  </w:num>
  <w:num w:numId="5">
    <w:abstractNumId w:val="12"/>
  </w:num>
  <w:num w:numId="6">
    <w:abstractNumId w:val="11"/>
  </w:num>
  <w:num w:numId="7">
    <w:abstractNumId w:val="0"/>
  </w:num>
  <w:num w:numId="8">
    <w:abstractNumId w:val="6"/>
  </w:num>
  <w:num w:numId="9">
    <w:abstractNumId w:val="1"/>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40"/>
    <w:rsid w:val="00013A13"/>
    <w:rsid w:val="00023442"/>
    <w:rsid w:val="000460AA"/>
    <w:rsid w:val="00054AB3"/>
    <w:rsid w:val="00054F7D"/>
    <w:rsid w:val="00063D73"/>
    <w:rsid w:val="000A2E4D"/>
    <w:rsid w:val="000C5DE7"/>
    <w:rsid w:val="000C5F26"/>
    <w:rsid w:val="00110550"/>
    <w:rsid w:val="00113C76"/>
    <w:rsid w:val="00115109"/>
    <w:rsid w:val="0012381D"/>
    <w:rsid w:val="00134E31"/>
    <w:rsid w:val="001638D1"/>
    <w:rsid w:val="00171506"/>
    <w:rsid w:val="00176479"/>
    <w:rsid w:val="00195ABD"/>
    <w:rsid w:val="001A28EE"/>
    <w:rsid w:val="001A69BA"/>
    <w:rsid w:val="001B24E2"/>
    <w:rsid w:val="001E1509"/>
    <w:rsid w:val="001E51EB"/>
    <w:rsid w:val="00215604"/>
    <w:rsid w:val="00234C9F"/>
    <w:rsid w:val="00240621"/>
    <w:rsid w:val="00242CAD"/>
    <w:rsid w:val="002457CA"/>
    <w:rsid w:val="00255BF6"/>
    <w:rsid w:val="00275B4E"/>
    <w:rsid w:val="002A75A9"/>
    <w:rsid w:val="002D2462"/>
    <w:rsid w:val="002E75AC"/>
    <w:rsid w:val="002F10D4"/>
    <w:rsid w:val="002F1BED"/>
    <w:rsid w:val="002F270E"/>
    <w:rsid w:val="00313B5C"/>
    <w:rsid w:val="003148B4"/>
    <w:rsid w:val="003214BD"/>
    <w:rsid w:val="00335840"/>
    <w:rsid w:val="00382F99"/>
    <w:rsid w:val="003B5A83"/>
    <w:rsid w:val="003D11B9"/>
    <w:rsid w:val="003D1CA5"/>
    <w:rsid w:val="003D1DB6"/>
    <w:rsid w:val="003E048C"/>
    <w:rsid w:val="003F68CC"/>
    <w:rsid w:val="0040230E"/>
    <w:rsid w:val="004152CD"/>
    <w:rsid w:val="00426DBC"/>
    <w:rsid w:val="00442132"/>
    <w:rsid w:val="00462DB5"/>
    <w:rsid w:val="004A0DD9"/>
    <w:rsid w:val="004C1868"/>
    <w:rsid w:val="004C43CB"/>
    <w:rsid w:val="004D1695"/>
    <w:rsid w:val="004E2535"/>
    <w:rsid w:val="004F0921"/>
    <w:rsid w:val="004F6C6F"/>
    <w:rsid w:val="00507C13"/>
    <w:rsid w:val="0051140A"/>
    <w:rsid w:val="00536FC5"/>
    <w:rsid w:val="00543050"/>
    <w:rsid w:val="00551D94"/>
    <w:rsid w:val="005B27C2"/>
    <w:rsid w:val="005C5926"/>
    <w:rsid w:val="005D0515"/>
    <w:rsid w:val="005E7DEB"/>
    <w:rsid w:val="005F4C97"/>
    <w:rsid w:val="006314D8"/>
    <w:rsid w:val="0064104B"/>
    <w:rsid w:val="00657D52"/>
    <w:rsid w:val="00677263"/>
    <w:rsid w:val="006A78C1"/>
    <w:rsid w:val="006B33AB"/>
    <w:rsid w:val="006C383A"/>
    <w:rsid w:val="006C6298"/>
    <w:rsid w:val="006C69BF"/>
    <w:rsid w:val="006E1E54"/>
    <w:rsid w:val="007400EC"/>
    <w:rsid w:val="00740CED"/>
    <w:rsid w:val="00743DDF"/>
    <w:rsid w:val="00762A06"/>
    <w:rsid w:val="00773FB4"/>
    <w:rsid w:val="007839B3"/>
    <w:rsid w:val="007927B3"/>
    <w:rsid w:val="00793740"/>
    <w:rsid w:val="007A3623"/>
    <w:rsid w:val="007A5499"/>
    <w:rsid w:val="007B6429"/>
    <w:rsid w:val="007C6F73"/>
    <w:rsid w:val="007D00A8"/>
    <w:rsid w:val="007F32A1"/>
    <w:rsid w:val="007F56D4"/>
    <w:rsid w:val="00816247"/>
    <w:rsid w:val="00817363"/>
    <w:rsid w:val="00824BC7"/>
    <w:rsid w:val="00850215"/>
    <w:rsid w:val="00861409"/>
    <w:rsid w:val="00862A63"/>
    <w:rsid w:val="008675ED"/>
    <w:rsid w:val="008727D8"/>
    <w:rsid w:val="00895D56"/>
    <w:rsid w:val="008A34D4"/>
    <w:rsid w:val="008D55E6"/>
    <w:rsid w:val="008F096E"/>
    <w:rsid w:val="008F499A"/>
    <w:rsid w:val="0090263D"/>
    <w:rsid w:val="00913EDD"/>
    <w:rsid w:val="00992066"/>
    <w:rsid w:val="009A1EC7"/>
    <w:rsid w:val="009A4846"/>
    <w:rsid w:val="009C73A9"/>
    <w:rsid w:val="009D50BD"/>
    <w:rsid w:val="009D68D5"/>
    <w:rsid w:val="009E65CC"/>
    <w:rsid w:val="00A01FE3"/>
    <w:rsid w:val="00A100E1"/>
    <w:rsid w:val="00A11431"/>
    <w:rsid w:val="00A40821"/>
    <w:rsid w:val="00A859B7"/>
    <w:rsid w:val="00A866FD"/>
    <w:rsid w:val="00A91526"/>
    <w:rsid w:val="00A96FA0"/>
    <w:rsid w:val="00B245CF"/>
    <w:rsid w:val="00B31A3F"/>
    <w:rsid w:val="00B3425D"/>
    <w:rsid w:val="00B60ADE"/>
    <w:rsid w:val="00B736E4"/>
    <w:rsid w:val="00B904C7"/>
    <w:rsid w:val="00BA047F"/>
    <w:rsid w:val="00BC011B"/>
    <w:rsid w:val="00BD038D"/>
    <w:rsid w:val="00BD4DF6"/>
    <w:rsid w:val="00C06106"/>
    <w:rsid w:val="00C26269"/>
    <w:rsid w:val="00C607EA"/>
    <w:rsid w:val="00C73491"/>
    <w:rsid w:val="00C842B8"/>
    <w:rsid w:val="00C848EB"/>
    <w:rsid w:val="00C87A20"/>
    <w:rsid w:val="00CA0C3D"/>
    <w:rsid w:val="00CB2EF6"/>
    <w:rsid w:val="00CE6517"/>
    <w:rsid w:val="00CF128F"/>
    <w:rsid w:val="00CF7498"/>
    <w:rsid w:val="00D01A9D"/>
    <w:rsid w:val="00D228AE"/>
    <w:rsid w:val="00D27E49"/>
    <w:rsid w:val="00D42C51"/>
    <w:rsid w:val="00D61CE0"/>
    <w:rsid w:val="00D640B4"/>
    <w:rsid w:val="00D738E1"/>
    <w:rsid w:val="00D74680"/>
    <w:rsid w:val="00D9531E"/>
    <w:rsid w:val="00DA3B26"/>
    <w:rsid w:val="00DC2E28"/>
    <w:rsid w:val="00DC6D38"/>
    <w:rsid w:val="00DD7C5E"/>
    <w:rsid w:val="00DF60B0"/>
    <w:rsid w:val="00E0537D"/>
    <w:rsid w:val="00E332A6"/>
    <w:rsid w:val="00E42798"/>
    <w:rsid w:val="00E43AC9"/>
    <w:rsid w:val="00E66209"/>
    <w:rsid w:val="00E85C22"/>
    <w:rsid w:val="00EA72BF"/>
    <w:rsid w:val="00EC6A13"/>
    <w:rsid w:val="00EE5440"/>
    <w:rsid w:val="00EF71CC"/>
    <w:rsid w:val="00F02C6D"/>
    <w:rsid w:val="00F048CB"/>
    <w:rsid w:val="00F12B57"/>
    <w:rsid w:val="00F17ED1"/>
    <w:rsid w:val="00F221FA"/>
    <w:rsid w:val="00F32F20"/>
    <w:rsid w:val="00F448BC"/>
    <w:rsid w:val="00F4561A"/>
    <w:rsid w:val="00F528E2"/>
    <w:rsid w:val="00F87DA5"/>
    <w:rsid w:val="00F90036"/>
    <w:rsid w:val="00F90640"/>
    <w:rsid w:val="00F94BC1"/>
    <w:rsid w:val="00FD4EDE"/>
    <w:rsid w:val="00FD59BD"/>
    <w:rsid w:val="00FE0B8E"/>
    <w:rsid w:val="00FE5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15CFD"/>
  <w15:chartTrackingRefBased/>
  <w15:docId w15:val="{E7646B8E-2284-49AB-9568-B47B8518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62DB5"/>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unhideWhenUsed/>
    <w:qFormat/>
    <w:rsid w:val="00F17E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F17E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17ED1"/>
    <w:pPr>
      <w:keepNext/>
      <w:keepLines/>
      <w:spacing w:before="40" w:after="0" w:line="360" w:lineRule="auto"/>
      <w:jc w:val="both"/>
      <w:outlineLvl w:val="3"/>
    </w:pPr>
    <w:rPr>
      <w:rFonts w:asciiTheme="majorHAnsi" w:eastAsiaTheme="majorEastAsia" w:hAnsiTheme="majorHAnsi" w:cstheme="majorBidi"/>
      <w:i/>
      <w:iCs/>
      <w:color w:val="2E74B5" w:themeColor="accent1" w:themeShade="B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CE0"/>
    <w:pPr>
      <w:ind w:left="720"/>
      <w:contextualSpacing/>
    </w:pPr>
  </w:style>
  <w:style w:type="character" w:customStyle="1" w:styleId="Balk1Char">
    <w:name w:val="Başlık 1 Char"/>
    <w:basedOn w:val="VarsaylanParagrafYazTipi"/>
    <w:link w:val="Balk1"/>
    <w:uiPriority w:val="9"/>
    <w:rsid w:val="00462DB5"/>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462DB5"/>
  </w:style>
  <w:style w:type="paragraph" w:styleId="ResimYazs">
    <w:name w:val="caption"/>
    <w:basedOn w:val="Normal"/>
    <w:next w:val="Normal"/>
    <w:uiPriority w:val="35"/>
    <w:unhideWhenUsed/>
    <w:qFormat/>
    <w:rsid w:val="00063D73"/>
    <w:pPr>
      <w:spacing w:after="200" w:line="240" w:lineRule="auto"/>
    </w:pPr>
    <w:rPr>
      <w:i/>
      <w:iCs/>
      <w:color w:val="44546A" w:themeColor="text2"/>
      <w:sz w:val="18"/>
      <w:szCs w:val="18"/>
    </w:rPr>
  </w:style>
  <w:style w:type="character" w:styleId="Kpr">
    <w:name w:val="Hyperlink"/>
    <w:basedOn w:val="VarsaylanParagrafYazTipi"/>
    <w:uiPriority w:val="99"/>
    <w:unhideWhenUsed/>
    <w:rsid w:val="00E0537D"/>
    <w:rPr>
      <w:color w:val="0563C1" w:themeColor="hyperlink"/>
      <w:u w:val="single"/>
    </w:rPr>
  </w:style>
  <w:style w:type="character" w:styleId="AklamaBavurusu">
    <w:name w:val="annotation reference"/>
    <w:basedOn w:val="VarsaylanParagrafYazTipi"/>
    <w:uiPriority w:val="99"/>
    <w:semiHidden/>
    <w:unhideWhenUsed/>
    <w:rsid w:val="005B27C2"/>
    <w:rPr>
      <w:sz w:val="16"/>
      <w:szCs w:val="16"/>
    </w:rPr>
  </w:style>
  <w:style w:type="paragraph" w:styleId="AklamaMetni">
    <w:name w:val="annotation text"/>
    <w:basedOn w:val="Normal"/>
    <w:link w:val="AklamaMetniChar"/>
    <w:uiPriority w:val="99"/>
    <w:semiHidden/>
    <w:unhideWhenUsed/>
    <w:rsid w:val="005B27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27C2"/>
    <w:rPr>
      <w:sz w:val="20"/>
      <w:szCs w:val="20"/>
    </w:rPr>
  </w:style>
  <w:style w:type="paragraph" w:styleId="AklamaKonusu">
    <w:name w:val="annotation subject"/>
    <w:basedOn w:val="AklamaMetni"/>
    <w:next w:val="AklamaMetni"/>
    <w:link w:val="AklamaKonusuChar"/>
    <w:uiPriority w:val="99"/>
    <w:semiHidden/>
    <w:unhideWhenUsed/>
    <w:rsid w:val="005B27C2"/>
    <w:rPr>
      <w:b/>
      <w:bCs/>
    </w:rPr>
  </w:style>
  <w:style w:type="character" w:customStyle="1" w:styleId="AklamaKonusuChar">
    <w:name w:val="Açıklama Konusu Char"/>
    <w:basedOn w:val="AklamaMetniChar"/>
    <w:link w:val="AklamaKonusu"/>
    <w:uiPriority w:val="99"/>
    <w:semiHidden/>
    <w:rsid w:val="005B27C2"/>
    <w:rPr>
      <w:b/>
      <w:bCs/>
      <w:sz w:val="20"/>
      <w:szCs w:val="20"/>
    </w:rPr>
  </w:style>
  <w:style w:type="paragraph" w:styleId="BalonMetni">
    <w:name w:val="Balloon Text"/>
    <w:basedOn w:val="Normal"/>
    <w:link w:val="BalonMetniChar"/>
    <w:uiPriority w:val="99"/>
    <w:semiHidden/>
    <w:unhideWhenUsed/>
    <w:rsid w:val="005B27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27C2"/>
    <w:rPr>
      <w:rFonts w:ascii="Segoe UI" w:hAnsi="Segoe UI" w:cs="Segoe UI"/>
      <w:sz w:val="18"/>
      <w:szCs w:val="18"/>
    </w:rPr>
  </w:style>
  <w:style w:type="paragraph" w:styleId="stBilgi">
    <w:name w:val="header"/>
    <w:basedOn w:val="Normal"/>
    <w:link w:val="stBilgiChar"/>
    <w:uiPriority w:val="99"/>
    <w:unhideWhenUsed/>
    <w:rsid w:val="00D73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8E1"/>
  </w:style>
  <w:style w:type="paragraph" w:styleId="AltBilgi">
    <w:name w:val="footer"/>
    <w:basedOn w:val="Normal"/>
    <w:link w:val="AltBilgiChar"/>
    <w:uiPriority w:val="99"/>
    <w:unhideWhenUsed/>
    <w:rsid w:val="00D73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8E1"/>
  </w:style>
  <w:style w:type="character" w:styleId="Gl">
    <w:name w:val="Strong"/>
    <w:basedOn w:val="VarsaylanParagrafYazTipi"/>
    <w:uiPriority w:val="22"/>
    <w:qFormat/>
    <w:rsid w:val="00D738E1"/>
    <w:rPr>
      <w:b/>
      <w:bCs/>
    </w:rPr>
  </w:style>
  <w:style w:type="paragraph" w:styleId="DipnotMetni">
    <w:name w:val="footnote text"/>
    <w:basedOn w:val="Normal"/>
    <w:link w:val="DipnotMetniChar"/>
    <w:uiPriority w:val="99"/>
    <w:unhideWhenUsed/>
    <w:rsid w:val="00D738E1"/>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D738E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D738E1"/>
    <w:rPr>
      <w:vertAlign w:val="superscript"/>
    </w:rPr>
  </w:style>
  <w:style w:type="character" w:customStyle="1" w:styleId="Balk2Char">
    <w:name w:val="Başlık 2 Char"/>
    <w:basedOn w:val="VarsaylanParagrafYazTipi"/>
    <w:link w:val="Balk2"/>
    <w:uiPriority w:val="9"/>
    <w:rsid w:val="00F17ED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F17ED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F17ED1"/>
    <w:rPr>
      <w:rFonts w:asciiTheme="majorHAnsi" w:eastAsiaTheme="majorEastAsia" w:hAnsiTheme="majorHAnsi" w:cstheme="majorBidi"/>
      <w:i/>
      <w:iCs/>
      <w:color w:val="2E74B5" w:themeColor="accent1" w:themeShade="BF"/>
      <w:sz w:val="24"/>
    </w:rPr>
  </w:style>
  <w:style w:type="paragraph" w:styleId="KonuBal">
    <w:name w:val="Title"/>
    <w:aliases w:val="Başlık 3.0"/>
    <w:basedOn w:val="Normal"/>
    <w:next w:val="Normal"/>
    <w:link w:val="KonuBalChar"/>
    <w:uiPriority w:val="10"/>
    <w:rsid w:val="00F17ED1"/>
    <w:pPr>
      <w:spacing w:after="0" w:line="240" w:lineRule="auto"/>
      <w:contextualSpacing/>
      <w:jc w:val="both"/>
    </w:pPr>
    <w:rPr>
      <w:rFonts w:ascii="Times New Roman" w:eastAsiaTheme="majorEastAsia" w:hAnsi="Times New Roman" w:cstheme="majorBidi"/>
      <w:spacing w:val="-10"/>
      <w:kern w:val="28"/>
      <w:sz w:val="24"/>
      <w:szCs w:val="56"/>
    </w:rPr>
  </w:style>
  <w:style w:type="character" w:customStyle="1" w:styleId="KonuBalChar">
    <w:name w:val="Konu Başlığı Char"/>
    <w:aliases w:val="Başlık 3.0 Char"/>
    <w:basedOn w:val="VarsaylanParagrafYazTipi"/>
    <w:link w:val="KonuBal"/>
    <w:uiPriority w:val="10"/>
    <w:rsid w:val="00F17ED1"/>
    <w:rPr>
      <w:rFonts w:ascii="Times New Roman" w:eastAsiaTheme="majorEastAsia" w:hAnsi="Times New Roman" w:cstheme="majorBidi"/>
      <w:spacing w:val="-10"/>
      <w:kern w:val="28"/>
      <w:sz w:val="24"/>
      <w:szCs w:val="56"/>
    </w:rPr>
  </w:style>
  <w:style w:type="paragraph" w:styleId="TBal">
    <w:name w:val="TOC Heading"/>
    <w:basedOn w:val="Balk1"/>
    <w:next w:val="Normal"/>
    <w:uiPriority w:val="39"/>
    <w:unhideWhenUsed/>
    <w:qFormat/>
    <w:rsid w:val="00F17ED1"/>
    <w:pPr>
      <w:spacing w:after="100" w:afterAutospacing="1" w:line="360" w:lineRule="auto"/>
      <w:jc w:val="both"/>
      <w:outlineLvl w:val="9"/>
    </w:pPr>
  </w:style>
  <w:style w:type="paragraph" w:styleId="T1">
    <w:name w:val="toc 1"/>
    <w:basedOn w:val="Normal"/>
    <w:next w:val="Normal"/>
    <w:autoRedefine/>
    <w:uiPriority w:val="39"/>
    <w:unhideWhenUsed/>
    <w:rsid w:val="00F17ED1"/>
    <w:pPr>
      <w:spacing w:after="100" w:line="360" w:lineRule="auto"/>
      <w:jc w:val="both"/>
    </w:pPr>
    <w:rPr>
      <w:rFonts w:ascii="Times New Roman" w:hAnsi="Times New Roman"/>
      <w:sz w:val="24"/>
    </w:rPr>
  </w:style>
  <w:style w:type="paragraph" w:styleId="T2">
    <w:name w:val="toc 2"/>
    <w:basedOn w:val="Normal"/>
    <w:next w:val="Normal"/>
    <w:autoRedefine/>
    <w:uiPriority w:val="39"/>
    <w:unhideWhenUsed/>
    <w:rsid w:val="00F17ED1"/>
    <w:pPr>
      <w:spacing w:after="100" w:line="360" w:lineRule="auto"/>
      <w:ind w:left="240"/>
      <w:jc w:val="both"/>
    </w:pPr>
    <w:rPr>
      <w:rFonts w:ascii="Times New Roman" w:hAnsi="Times New Roman"/>
      <w:sz w:val="24"/>
    </w:rPr>
  </w:style>
  <w:style w:type="paragraph" w:styleId="T3">
    <w:name w:val="toc 3"/>
    <w:basedOn w:val="Normal"/>
    <w:next w:val="Normal"/>
    <w:autoRedefine/>
    <w:uiPriority w:val="39"/>
    <w:unhideWhenUsed/>
    <w:rsid w:val="00F17ED1"/>
    <w:pPr>
      <w:spacing w:after="100" w:line="360" w:lineRule="auto"/>
      <w:ind w:left="480"/>
      <w:jc w:val="both"/>
    </w:pPr>
    <w:rPr>
      <w:rFonts w:ascii="Times New Roman" w:hAnsi="Times New Roman"/>
      <w:sz w:val="24"/>
    </w:rPr>
  </w:style>
  <w:style w:type="table" w:styleId="TabloKlavuzu">
    <w:name w:val="Table Grid"/>
    <w:basedOn w:val="NormalTablo"/>
    <w:uiPriority w:val="59"/>
    <w:rsid w:val="00F1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F17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11">
    <w:name w:val="Kılavuz Tablo 1 Açık - Vurgu 11"/>
    <w:basedOn w:val="NormalTablo"/>
    <w:uiPriority w:val="46"/>
    <w:rsid w:val="00F17E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F17ED1"/>
    <w:pPr>
      <w:spacing w:after="0" w:line="360" w:lineRule="auto"/>
      <w:jc w:val="both"/>
    </w:pPr>
    <w:rPr>
      <w:rFonts w:ascii="Times New Roman" w:hAnsi="Times New Roman"/>
      <w:sz w:val="24"/>
    </w:rPr>
  </w:style>
  <w:style w:type="character" w:customStyle="1" w:styleId="zmlenmeyenBahsetme1">
    <w:name w:val="Çözümlenmeyen Bahsetme1"/>
    <w:basedOn w:val="VarsaylanParagrafYazTipi"/>
    <w:uiPriority w:val="99"/>
    <w:semiHidden/>
    <w:unhideWhenUsed/>
    <w:rsid w:val="00F1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367">
      <w:bodyDiv w:val="1"/>
      <w:marLeft w:val="0"/>
      <w:marRight w:val="0"/>
      <w:marTop w:val="0"/>
      <w:marBottom w:val="0"/>
      <w:divBdr>
        <w:top w:val="none" w:sz="0" w:space="0" w:color="auto"/>
        <w:left w:val="none" w:sz="0" w:space="0" w:color="auto"/>
        <w:bottom w:val="none" w:sz="0" w:space="0" w:color="auto"/>
        <w:right w:val="none" w:sz="0" w:space="0" w:color="auto"/>
      </w:divBdr>
    </w:div>
    <w:div w:id="27268471">
      <w:bodyDiv w:val="1"/>
      <w:marLeft w:val="0"/>
      <w:marRight w:val="0"/>
      <w:marTop w:val="0"/>
      <w:marBottom w:val="0"/>
      <w:divBdr>
        <w:top w:val="none" w:sz="0" w:space="0" w:color="auto"/>
        <w:left w:val="none" w:sz="0" w:space="0" w:color="auto"/>
        <w:bottom w:val="none" w:sz="0" w:space="0" w:color="auto"/>
        <w:right w:val="none" w:sz="0" w:space="0" w:color="auto"/>
      </w:divBdr>
    </w:div>
    <w:div w:id="35549840">
      <w:bodyDiv w:val="1"/>
      <w:marLeft w:val="0"/>
      <w:marRight w:val="0"/>
      <w:marTop w:val="0"/>
      <w:marBottom w:val="0"/>
      <w:divBdr>
        <w:top w:val="none" w:sz="0" w:space="0" w:color="auto"/>
        <w:left w:val="none" w:sz="0" w:space="0" w:color="auto"/>
        <w:bottom w:val="none" w:sz="0" w:space="0" w:color="auto"/>
        <w:right w:val="none" w:sz="0" w:space="0" w:color="auto"/>
      </w:divBdr>
    </w:div>
    <w:div w:id="48498961">
      <w:bodyDiv w:val="1"/>
      <w:marLeft w:val="0"/>
      <w:marRight w:val="0"/>
      <w:marTop w:val="0"/>
      <w:marBottom w:val="0"/>
      <w:divBdr>
        <w:top w:val="none" w:sz="0" w:space="0" w:color="auto"/>
        <w:left w:val="none" w:sz="0" w:space="0" w:color="auto"/>
        <w:bottom w:val="none" w:sz="0" w:space="0" w:color="auto"/>
        <w:right w:val="none" w:sz="0" w:space="0" w:color="auto"/>
      </w:divBdr>
    </w:div>
    <w:div w:id="74480765">
      <w:bodyDiv w:val="1"/>
      <w:marLeft w:val="0"/>
      <w:marRight w:val="0"/>
      <w:marTop w:val="0"/>
      <w:marBottom w:val="0"/>
      <w:divBdr>
        <w:top w:val="none" w:sz="0" w:space="0" w:color="auto"/>
        <w:left w:val="none" w:sz="0" w:space="0" w:color="auto"/>
        <w:bottom w:val="none" w:sz="0" w:space="0" w:color="auto"/>
        <w:right w:val="none" w:sz="0" w:space="0" w:color="auto"/>
      </w:divBdr>
    </w:div>
    <w:div w:id="90470127">
      <w:bodyDiv w:val="1"/>
      <w:marLeft w:val="0"/>
      <w:marRight w:val="0"/>
      <w:marTop w:val="0"/>
      <w:marBottom w:val="0"/>
      <w:divBdr>
        <w:top w:val="none" w:sz="0" w:space="0" w:color="auto"/>
        <w:left w:val="none" w:sz="0" w:space="0" w:color="auto"/>
        <w:bottom w:val="none" w:sz="0" w:space="0" w:color="auto"/>
        <w:right w:val="none" w:sz="0" w:space="0" w:color="auto"/>
      </w:divBdr>
    </w:div>
    <w:div w:id="91249426">
      <w:bodyDiv w:val="1"/>
      <w:marLeft w:val="0"/>
      <w:marRight w:val="0"/>
      <w:marTop w:val="0"/>
      <w:marBottom w:val="0"/>
      <w:divBdr>
        <w:top w:val="none" w:sz="0" w:space="0" w:color="auto"/>
        <w:left w:val="none" w:sz="0" w:space="0" w:color="auto"/>
        <w:bottom w:val="none" w:sz="0" w:space="0" w:color="auto"/>
        <w:right w:val="none" w:sz="0" w:space="0" w:color="auto"/>
      </w:divBdr>
    </w:div>
    <w:div w:id="93984932">
      <w:bodyDiv w:val="1"/>
      <w:marLeft w:val="0"/>
      <w:marRight w:val="0"/>
      <w:marTop w:val="0"/>
      <w:marBottom w:val="0"/>
      <w:divBdr>
        <w:top w:val="none" w:sz="0" w:space="0" w:color="auto"/>
        <w:left w:val="none" w:sz="0" w:space="0" w:color="auto"/>
        <w:bottom w:val="none" w:sz="0" w:space="0" w:color="auto"/>
        <w:right w:val="none" w:sz="0" w:space="0" w:color="auto"/>
      </w:divBdr>
    </w:div>
    <w:div w:id="95292941">
      <w:bodyDiv w:val="1"/>
      <w:marLeft w:val="0"/>
      <w:marRight w:val="0"/>
      <w:marTop w:val="0"/>
      <w:marBottom w:val="0"/>
      <w:divBdr>
        <w:top w:val="none" w:sz="0" w:space="0" w:color="auto"/>
        <w:left w:val="none" w:sz="0" w:space="0" w:color="auto"/>
        <w:bottom w:val="none" w:sz="0" w:space="0" w:color="auto"/>
        <w:right w:val="none" w:sz="0" w:space="0" w:color="auto"/>
      </w:divBdr>
    </w:div>
    <w:div w:id="114060261">
      <w:bodyDiv w:val="1"/>
      <w:marLeft w:val="0"/>
      <w:marRight w:val="0"/>
      <w:marTop w:val="0"/>
      <w:marBottom w:val="0"/>
      <w:divBdr>
        <w:top w:val="none" w:sz="0" w:space="0" w:color="auto"/>
        <w:left w:val="none" w:sz="0" w:space="0" w:color="auto"/>
        <w:bottom w:val="none" w:sz="0" w:space="0" w:color="auto"/>
        <w:right w:val="none" w:sz="0" w:space="0" w:color="auto"/>
      </w:divBdr>
    </w:div>
    <w:div w:id="128743281">
      <w:bodyDiv w:val="1"/>
      <w:marLeft w:val="0"/>
      <w:marRight w:val="0"/>
      <w:marTop w:val="0"/>
      <w:marBottom w:val="0"/>
      <w:divBdr>
        <w:top w:val="none" w:sz="0" w:space="0" w:color="auto"/>
        <w:left w:val="none" w:sz="0" w:space="0" w:color="auto"/>
        <w:bottom w:val="none" w:sz="0" w:space="0" w:color="auto"/>
        <w:right w:val="none" w:sz="0" w:space="0" w:color="auto"/>
      </w:divBdr>
    </w:div>
    <w:div w:id="136381413">
      <w:bodyDiv w:val="1"/>
      <w:marLeft w:val="0"/>
      <w:marRight w:val="0"/>
      <w:marTop w:val="0"/>
      <w:marBottom w:val="0"/>
      <w:divBdr>
        <w:top w:val="none" w:sz="0" w:space="0" w:color="auto"/>
        <w:left w:val="none" w:sz="0" w:space="0" w:color="auto"/>
        <w:bottom w:val="none" w:sz="0" w:space="0" w:color="auto"/>
        <w:right w:val="none" w:sz="0" w:space="0" w:color="auto"/>
      </w:divBdr>
    </w:div>
    <w:div w:id="144901497">
      <w:bodyDiv w:val="1"/>
      <w:marLeft w:val="0"/>
      <w:marRight w:val="0"/>
      <w:marTop w:val="0"/>
      <w:marBottom w:val="0"/>
      <w:divBdr>
        <w:top w:val="none" w:sz="0" w:space="0" w:color="auto"/>
        <w:left w:val="none" w:sz="0" w:space="0" w:color="auto"/>
        <w:bottom w:val="none" w:sz="0" w:space="0" w:color="auto"/>
        <w:right w:val="none" w:sz="0" w:space="0" w:color="auto"/>
      </w:divBdr>
    </w:div>
    <w:div w:id="157236286">
      <w:bodyDiv w:val="1"/>
      <w:marLeft w:val="0"/>
      <w:marRight w:val="0"/>
      <w:marTop w:val="0"/>
      <w:marBottom w:val="0"/>
      <w:divBdr>
        <w:top w:val="none" w:sz="0" w:space="0" w:color="auto"/>
        <w:left w:val="none" w:sz="0" w:space="0" w:color="auto"/>
        <w:bottom w:val="none" w:sz="0" w:space="0" w:color="auto"/>
        <w:right w:val="none" w:sz="0" w:space="0" w:color="auto"/>
      </w:divBdr>
    </w:div>
    <w:div w:id="165562402">
      <w:bodyDiv w:val="1"/>
      <w:marLeft w:val="0"/>
      <w:marRight w:val="0"/>
      <w:marTop w:val="0"/>
      <w:marBottom w:val="0"/>
      <w:divBdr>
        <w:top w:val="none" w:sz="0" w:space="0" w:color="auto"/>
        <w:left w:val="none" w:sz="0" w:space="0" w:color="auto"/>
        <w:bottom w:val="none" w:sz="0" w:space="0" w:color="auto"/>
        <w:right w:val="none" w:sz="0" w:space="0" w:color="auto"/>
      </w:divBdr>
    </w:div>
    <w:div w:id="185560289">
      <w:bodyDiv w:val="1"/>
      <w:marLeft w:val="0"/>
      <w:marRight w:val="0"/>
      <w:marTop w:val="0"/>
      <w:marBottom w:val="0"/>
      <w:divBdr>
        <w:top w:val="none" w:sz="0" w:space="0" w:color="auto"/>
        <w:left w:val="none" w:sz="0" w:space="0" w:color="auto"/>
        <w:bottom w:val="none" w:sz="0" w:space="0" w:color="auto"/>
        <w:right w:val="none" w:sz="0" w:space="0" w:color="auto"/>
      </w:divBdr>
    </w:div>
    <w:div w:id="197595524">
      <w:bodyDiv w:val="1"/>
      <w:marLeft w:val="0"/>
      <w:marRight w:val="0"/>
      <w:marTop w:val="0"/>
      <w:marBottom w:val="0"/>
      <w:divBdr>
        <w:top w:val="none" w:sz="0" w:space="0" w:color="auto"/>
        <w:left w:val="none" w:sz="0" w:space="0" w:color="auto"/>
        <w:bottom w:val="none" w:sz="0" w:space="0" w:color="auto"/>
        <w:right w:val="none" w:sz="0" w:space="0" w:color="auto"/>
      </w:divBdr>
    </w:div>
    <w:div w:id="202134017">
      <w:bodyDiv w:val="1"/>
      <w:marLeft w:val="0"/>
      <w:marRight w:val="0"/>
      <w:marTop w:val="0"/>
      <w:marBottom w:val="0"/>
      <w:divBdr>
        <w:top w:val="none" w:sz="0" w:space="0" w:color="auto"/>
        <w:left w:val="none" w:sz="0" w:space="0" w:color="auto"/>
        <w:bottom w:val="none" w:sz="0" w:space="0" w:color="auto"/>
        <w:right w:val="none" w:sz="0" w:space="0" w:color="auto"/>
      </w:divBdr>
    </w:div>
    <w:div w:id="217254042">
      <w:bodyDiv w:val="1"/>
      <w:marLeft w:val="0"/>
      <w:marRight w:val="0"/>
      <w:marTop w:val="0"/>
      <w:marBottom w:val="0"/>
      <w:divBdr>
        <w:top w:val="none" w:sz="0" w:space="0" w:color="auto"/>
        <w:left w:val="none" w:sz="0" w:space="0" w:color="auto"/>
        <w:bottom w:val="none" w:sz="0" w:space="0" w:color="auto"/>
        <w:right w:val="none" w:sz="0" w:space="0" w:color="auto"/>
      </w:divBdr>
    </w:div>
    <w:div w:id="223417498">
      <w:bodyDiv w:val="1"/>
      <w:marLeft w:val="0"/>
      <w:marRight w:val="0"/>
      <w:marTop w:val="0"/>
      <w:marBottom w:val="0"/>
      <w:divBdr>
        <w:top w:val="none" w:sz="0" w:space="0" w:color="auto"/>
        <w:left w:val="none" w:sz="0" w:space="0" w:color="auto"/>
        <w:bottom w:val="none" w:sz="0" w:space="0" w:color="auto"/>
        <w:right w:val="none" w:sz="0" w:space="0" w:color="auto"/>
      </w:divBdr>
    </w:div>
    <w:div w:id="236132304">
      <w:bodyDiv w:val="1"/>
      <w:marLeft w:val="0"/>
      <w:marRight w:val="0"/>
      <w:marTop w:val="0"/>
      <w:marBottom w:val="0"/>
      <w:divBdr>
        <w:top w:val="none" w:sz="0" w:space="0" w:color="auto"/>
        <w:left w:val="none" w:sz="0" w:space="0" w:color="auto"/>
        <w:bottom w:val="none" w:sz="0" w:space="0" w:color="auto"/>
        <w:right w:val="none" w:sz="0" w:space="0" w:color="auto"/>
      </w:divBdr>
    </w:div>
    <w:div w:id="247734083">
      <w:bodyDiv w:val="1"/>
      <w:marLeft w:val="0"/>
      <w:marRight w:val="0"/>
      <w:marTop w:val="0"/>
      <w:marBottom w:val="0"/>
      <w:divBdr>
        <w:top w:val="none" w:sz="0" w:space="0" w:color="auto"/>
        <w:left w:val="none" w:sz="0" w:space="0" w:color="auto"/>
        <w:bottom w:val="none" w:sz="0" w:space="0" w:color="auto"/>
        <w:right w:val="none" w:sz="0" w:space="0" w:color="auto"/>
      </w:divBdr>
    </w:div>
    <w:div w:id="254632074">
      <w:bodyDiv w:val="1"/>
      <w:marLeft w:val="0"/>
      <w:marRight w:val="0"/>
      <w:marTop w:val="0"/>
      <w:marBottom w:val="0"/>
      <w:divBdr>
        <w:top w:val="none" w:sz="0" w:space="0" w:color="auto"/>
        <w:left w:val="none" w:sz="0" w:space="0" w:color="auto"/>
        <w:bottom w:val="none" w:sz="0" w:space="0" w:color="auto"/>
        <w:right w:val="none" w:sz="0" w:space="0" w:color="auto"/>
      </w:divBdr>
    </w:div>
    <w:div w:id="258292046">
      <w:bodyDiv w:val="1"/>
      <w:marLeft w:val="0"/>
      <w:marRight w:val="0"/>
      <w:marTop w:val="0"/>
      <w:marBottom w:val="0"/>
      <w:divBdr>
        <w:top w:val="none" w:sz="0" w:space="0" w:color="auto"/>
        <w:left w:val="none" w:sz="0" w:space="0" w:color="auto"/>
        <w:bottom w:val="none" w:sz="0" w:space="0" w:color="auto"/>
        <w:right w:val="none" w:sz="0" w:space="0" w:color="auto"/>
      </w:divBdr>
    </w:div>
    <w:div w:id="260382349">
      <w:bodyDiv w:val="1"/>
      <w:marLeft w:val="0"/>
      <w:marRight w:val="0"/>
      <w:marTop w:val="0"/>
      <w:marBottom w:val="0"/>
      <w:divBdr>
        <w:top w:val="none" w:sz="0" w:space="0" w:color="auto"/>
        <w:left w:val="none" w:sz="0" w:space="0" w:color="auto"/>
        <w:bottom w:val="none" w:sz="0" w:space="0" w:color="auto"/>
        <w:right w:val="none" w:sz="0" w:space="0" w:color="auto"/>
      </w:divBdr>
    </w:div>
    <w:div w:id="280111531">
      <w:bodyDiv w:val="1"/>
      <w:marLeft w:val="0"/>
      <w:marRight w:val="0"/>
      <w:marTop w:val="0"/>
      <w:marBottom w:val="0"/>
      <w:divBdr>
        <w:top w:val="none" w:sz="0" w:space="0" w:color="auto"/>
        <w:left w:val="none" w:sz="0" w:space="0" w:color="auto"/>
        <w:bottom w:val="none" w:sz="0" w:space="0" w:color="auto"/>
        <w:right w:val="none" w:sz="0" w:space="0" w:color="auto"/>
      </w:divBdr>
    </w:div>
    <w:div w:id="310525292">
      <w:bodyDiv w:val="1"/>
      <w:marLeft w:val="0"/>
      <w:marRight w:val="0"/>
      <w:marTop w:val="0"/>
      <w:marBottom w:val="0"/>
      <w:divBdr>
        <w:top w:val="none" w:sz="0" w:space="0" w:color="auto"/>
        <w:left w:val="none" w:sz="0" w:space="0" w:color="auto"/>
        <w:bottom w:val="none" w:sz="0" w:space="0" w:color="auto"/>
        <w:right w:val="none" w:sz="0" w:space="0" w:color="auto"/>
      </w:divBdr>
    </w:div>
    <w:div w:id="319774557">
      <w:bodyDiv w:val="1"/>
      <w:marLeft w:val="0"/>
      <w:marRight w:val="0"/>
      <w:marTop w:val="0"/>
      <w:marBottom w:val="0"/>
      <w:divBdr>
        <w:top w:val="none" w:sz="0" w:space="0" w:color="auto"/>
        <w:left w:val="none" w:sz="0" w:space="0" w:color="auto"/>
        <w:bottom w:val="none" w:sz="0" w:space="0" w:color="auto"/>
        <w:right w:val="none" w:sz="0" w:space="0" w:color="auto"/>
      </w:divBdr>
    </w:div>
    <w:div w:id="320235469">
      <w:bodyDiv w:val="1"/>
      <w:marLeft w:val="0"/>
      <w:marRight w:val="0"/>
      <w:marTop w:val="0"/>
      <w:marBottom w:val="0"/>
      <w:divBdr>
        <w:top w:val="none" w:sz="0" w:space="0" w:color="auto"/>
        <w:left w:val="none" w:sz="0" w:space="0" w:color="auto"/>
        <w:bottom w:val="none" w:sz="0" w:space="0" w:color="auto"/>
        <w:right w:val="none" w:sz="0" w:space="0" w:color="auto"/>
      </w:divBdr>
    </w:div>
    <w:div w:id="325088669">
      <w:bodyDiv w:val="1"/>
      <w:marLeft w:val="0"/>
      <w:marRight w:val="0"/>
      <w:marTop w:val="0"/>
      <w:marBottom w:val="0"/>
      <w:divBdr>
        <w:top w:val="none" w:sz="0" w:space="0" w:color="auto"/>
        <w:left w:val="none" w:sz="0" w:space="0" w:color="auto"/>
        <w:bottom w:val="none" w:sz="0" w:space="0" w:color="auto"/>
        <w:right w:val="none" w:sz="0" w:space="0" w:color="auto"/>
      </w:divBdr>
    </w:div>
    <w:div w:id="326371099">
      <w:bodyDiv w:val="1"/>
      <w:marLeft w:val="0"/>
      <w:marRight w:val="0"/>
      <w:marTop w:val="0"/>
      <w:marBottom w:val="0"/>
      <w:divBdr>
        <w:top w:val="none" w:sz="0" w:space="0" w:color="auto"/>
        <w:left w:val="none" w:sz="0" w:space="0" w:color="auto"/>
        <w:bottom w:val="none" w:sz="0" w:space="0" w:color="auto"/>
        <w:right w:val="none" w:sz="0" w:space="0" w:color="auto"/>
      </w:divBdr>
    </w:div>
    <w:div w:id="346717864">
      <w:bodyDiv w:val="1"/>
      <w:marLeft w:val="0"/>
      <w:marRight w:val="0"/>
      <w:marTop w:val="0"/>
      <w:marBottom w:val="0"/>
      <w:divBdr>
        <w:top w:val="none" w:sz="0" w:space="0" w:color="auto"/>
        <w:left w:val="none" w:sz="0" w:space="0" w:color="auto"/>
        <w:bottom w:val="none" w:sz="0" w:space="0" w:color="auto"/>
        <w:right w:val="none" w:sz="0" w:space="0" w:color="auto"/>
      </w:divBdr>
    </w:div>
    <w:div w:id="356778831">
      <w:bodyDiv w:val="1"/>
      <w:marLeft w:val="0"/>
      <w:marRight w:val="0"/>
      <w:marTop w:val="0"/>
      <w:marBottom w:val="0"/>
      <w:divBdr>
        <w:top w:val="none" w:sz="0" w:space="0" w:color="auto"/>
        <w:left w:val="none" w:sz="0" w:space="0" w:color="auto"/>
        <w:bottom w:val="none" w:sz="0" w:space="0" w:color="auto"/>
        <w:right w:val="none" w:sz="0" w:space="0" w:color="auto"/>
      </w:divBdr>
    </w:div>
    <w:div w:id="361322979">
      <w:bodyDiv w:val="1"/>
      <w:marLeft w:val="0"/>
      <w:marRight w:val="0"/>
      <w:marTop w:val="0"/>
      <w:marBottom w:val="0"/>
      <w:divBdr>
        <w:top w:val="none" w:sz="0" w:space="0" w:color="auto"/>
        <w:left w:val="none" w:sz="0" w:space="0" w:color="auto"/>
        <w:bottom w:val="none" w:sz="0" w:space="0" w:color="auto"/>
        <w:right w:val="none" w:sz="0" w:space="0" w:color="auto"/>
      </w:divBdr>
    </w:div>
    <w:div w:id="375810801">
      <w:bodyDiv w:val="1"/>
      <w:marLeft w:val="0"/>
      <w:marRight w:val="0"/>
      <w:marTop w:val="0"/>
      <w:marBottom w:val="0"/>
      <w:divBdr>
        <w:top w:val="none" w:sz="0" w:space="0" w:color="auto"/>
        <w:left w:val="none" w:sz="0" w:space="0" w:color="auto"/>
        <w:bottom w:val="none" w:sz="0" w:space="0" w:color="auto"/>
        <w:right w:val="none" w:sz="0" w:space="0" w:color="auto"/>
      </w:divBdr>
    </w:div>
    <w:div w:id="377556395">
      <w:bodyDiv w:val="1"/>
      <w:marLeft w:val="0"/>
      <w:marRight w:val="0"/>
      <w:marTop w:val="0"/>
      <w:marBottom w:val="0"/>
      <w:divBdr>
        <w:top w:val="none" w:sz="0" w:space="0" w:color="auto"/>
        <w:left w:val="none" w:sz="0" w:space="0" w:color="auto"/>
        <w:bottom w:val="none" w:sz="0" w:space="0" w:color="auto"/>
        <w:right w:val="none" w:sz="0" w:space="0" w:color="auto"/>
      </w:divBdr>
    </w:div>
    <w:div w:id="392001262">
      <w:bodyDiv w:val="1"/>
      <w:marLeft w:val="0"/>
      <w:marRight w:val="0"/>
      <w:marTop w:val="0"/>
      <w:marBottom w:val="0"/>
      <w:divBdr>
        <w:top w:val="none" w:sz="0" w:space="0" w:color="auto"/>
        <w:left w:val="none" w:sz="0" w:space="0" w:color="auto"/>
        <w:bottom w:val="none" w:sz="0" w:space="0" w:color="auto"/>
        <w:right w:val="none" w:sz="0" w:space="0" w:color="auto"/>
      </w:divBdr>
    </w:div>
    <w:div w:id="426578874">
      <w:bodyDiv w:val="1"/>
      <w:marLeft w:val="0"/>
      <w:marRight w:val="0"/>
      <w:marTop w:val="0"/>
      <w:marBottom w:val="0"/>
      <w:divBdr>
        <w:top w:val="none" w:sz="0" w:space="0" w:color="auto"/>
        <w:left w:val="none" w:sz="0" w:space="0" w:color="auto"/>
        <w:bottom w:val="none" w:sz="0" w:space="0" w:color="auto"/>
        <w:right w:val="none" w:sz="0" w:space="0" w:color="auto"/>
      </w:divBdr>
    </w:div>
    <w:div w:id="426774712">
      <w:bodyDiv w:val="1"/>
      <w:marLeft w:val="0"/>
      <w:marRight w:val="0"/>
      <w:marTop w:val="0"/>
      <w:marBottom w:val="0"/>
      <w:divBdr>
        <w:top w:val="none" w:sz="0" w:space="0" w:color="auto"/>
        <w:left w:val="none" w:sz="0" w:space="0" w:color="auto"/>
        <w:bottom w:val="none" w:sz="0" w:space="0" w:color="auto"/>
        <w:right w:val="none" w:sz="0" w:space="0" w:color="auto"/>
      </w:divBdr>
    </w:div>
    <w:div w:id="431819782">
      <w:bodyDiv w:val="1"/>
      <w:marLeft w:val="0"/>
      <w:marRight w:val="0"/>
      <w:marTop w:val="0"/>
      <w:marBottom w:val="0"/>
      <w:divBdr>
        <w:top w:val="none" w:sz="0" w:space="0" w:color="auto"/>
        <w:left w:val="none" w:sz="0" w:space="0" w:color="auto"/>
        <w:bottom w:val="none" w:sz="0" w:space="0" w:color="auto"/>
        <w:right w:val="none" w:sz="0" w:space="0" w:color="auto"/>
      </w:divBdr>
    </w:div>
    <w:div w:id="434711337">
      <w:bodyDiv w:val="1"/>
      <w:marLeft w:val="0"/>
      <w:marRight w:val="0"/>
      <w:marTop w:val="0"/>
      <w:marBottom w:val="0"/>
      <w:divBdr>
        <w:top w:val="none" w:sz="0" w:space="0" w:color="auto"/>
        <w:left w:val="none" w:sz="0" w:space="0" w:color="auto"/>
        <w:bottom w:val="none" w:sz="0" w:space="0" w:color="auto"/>
        <w:right w:val="none" w:sz="0" w:space="0" w:color="auto"/>
      </w:divBdr>
    </w:div>
    <w:div w:id="437214618">
      <w:bodyDiv w:val="1"/>
      <w:marLeft w:val="0"/>
      <w:marRight w:val="0"/>
      <w:marTop w:val="0"/>
      <w:marBottom w:val="0"/>
      <w:divBdr>
        <w:top w:val="none" w:sz="0" w:space="0" w:color="auto"/>
        <w:left w:val="none" w:sz="0" w:space="0" w:color="auto"/>
        <w:bottom w:val="none" w:sz="0" w:space="0" w:color="auto"/>
        <w:right w:val="none" w:sz="0" w:space="0" w:color="auto"/>
      </w:divBdr>
    </w:div>
    <w:div w:id="444810120">
      <w:bodyDiv w:val="1"/>
      <w:marLeft w:val="0"/>
      <w:marRight w:val="0"/>
      <w:marTop w:val="0"/>
      <w:marBottom w:val="0"/>
      <w:divBdr>
        <w:top w:val="none" w:sz="0" w:space="0" w:color="auto"/>
        <w:left w:val="none" w:sz="0" w:space="0" w:color="auto"/>
        <w:bottom w:val="none" w:sz="0" w:space="0" w:color="auto"/>
        <w:right w:val="none" w:sz="0" w:space="0" w:color="auto"/>
      </w:divBdr>
    </w:div>
    <w:div w:id="453330251">
      <w:bodyDiv w:val="1"/>
      <w:marLeft w:val="0"/>
      <w:marRight w:val="0"/>
      <w:marTop w:val="0"/>
      <w:marBottom w:val="0"/>
      <w:divBdr>
        <w:top w:val="none" w:sz="0" w:space="0" w:color="auto"/>
        <w:left w:val="none" w:sz="0" w:space="0" w:color="auto"/>
        <w:bottom w:val="none" w:sz="0" w:space="0" w:color="auto"/>
        <w:right w:val="none" w:sz="0" w:space="0" w:color="auto"/>
      </w:divBdr>
    </w:div>
    <w:div w:id="490677646">
      <w:bodyDiv w:val="1"/>
      <w:marLeft w:val="0"/>
      <w:marRight w:val="0"/>
      <w:marTop w:val="0"/>
      <w:marBottom w:val="0"/>
      <w:divBdr>
        <w:top w:val="none" w:sz="0" w:space="0" w:color="auto"/>
        <w:left w:val="none" w:sz="0" w:space="0" w:color="auto"/>
        <w:bottom w:val="none" w:sz="0" w:space="0" w:color="auto"/>
        <w:right w:val="none" w:sz="0" w:space="0" w:color="auto"/>
      </w:divBdr>
    </w:div>
    <w:div w:id="491026036">
      <w:bodyDiv w:val="1"/>
      <w:marLeft w:val="0"/>
      <w:marRight w:val="0"/>
      <w:marTop w:val="0"/>
      <w:marBottom w:val="0"/>
      <w:divBdr>
        <w:top w:val="none" w:sz="0" w:space="0" w:color="auto"/>
        <w:left w:val="none" w:sz="0" w:space="0" w:color="auto"/>
        <w:bottom w:val="none" w:sz="0" w:space="0" w:color="auto"/>
        <w:right w:val="none" w:sz="0" w:space="0" w:color="auto"/>
      </w:divBdr>
    </w:div>
    <w:div w:id="496312415">
      <w:bodyDiv w:val="1"/>
      <w:marLeft w:val="0"/>
      <w:marRight w:val="0"/>
      <w:marTop w:val="0"/>
      <w:marBottom w:val="0"/>
      <w:divBdr>
        <w:top w:val="none" w:sz="0" w:space="0" w:color="auto"/>
        <w:left w:val="none" w:sz="0" w:space="0" w:color="auto"/>
        <w:bottom w:val="none" w:sz="0" w:space="0" w:color="auto"/>
        <w:right w:val="none" w:sz="0" w:space="0" w:color="auto"/>
      </w:divBdr>
    </w:div>
    <w:div w:id="504050295">
      <w:bodyDiv w:val="1"/>
      <w:marLeft w:val="0"/>
      <w:marRight w:val="0"/>
      <w:marTop w:val="0"/>
      <w:marBottom w:val="0"/>
      <w:divBdr>
        <w:top w:val="none" w:sz="0" w:space="0" w:color="auto"/>
        <w:left w:val="none" w:sz="0" w:space="0" w:color="auto"/>
        <w:bottom w:val="none" w:sz="0" w:space="0" w:color="auto"/>
        <w:right w:val="none" w:sz="0" w:space="0" w:color="auto"/>
      </w:divBdr>
    </w:div>
    <w:div w:id="515580399">
      <w:bodyDiv w:val="1"/>
      <w:marLeft w:val="0"/>
      <w:marRight w:val="0"/>
      <w:marTop w:val="0"/>
      <w:marBottom w:val="0"/>
      <w:divBdr>
        <w:top w:val="none" w:sz="0" w:space="0" w:color="auto"/>
        <w:left w:val="none" w:sz="0" w:space="0" w:color="auto"/>
        <w:bottom w:val="none" w:sz="0" w:space="0" w:color="auto"/>
        <w:right w:val="none" w:sz="0" w:space="0" w:color="auto"/>
      </w:divBdr>
    </w:div>
    <w:div w:id="518354838">
      <w:bodyDiv w:val="1"/>
      <w:marLeft w:val="0"/>
      <w:marRight w:val="0"/>
      <w:marTop w:val="0"/>
      <w:marBottom w:val="0"/>
      <w:divBdr>
        <w:top w:val="none" w:sz="0" w:space="0" w:color="auto"/>
        <w:left w:val="none" w:sz="0" w:space="0" w:color="auto"/>
        <w:bottom w:val="none" w:sz="0" w:space="0" w:color="auto"/>
        <w:right w:val="none" w:sz="0" w:space="0" w:color="auto"/>
      </w:divBdr>
    </w:div>
    <w:div w:id="555700028">
      <w:bodyDiv w:val="1"/>
      <w:marLeft w:val="0"/>
      <w:marRight w:val="0"/>
      <w:marTop w:val="0"/>
      <w:marBottom w:val="0"/>
      <w:divBdr>
        <w:top w:val="none" w:sz="0" w:space="0" w:color="auto"/>
        <w:left w:val="none" w:sz="0" w:space="0" w:color="auto"/>
        <w:bottom w:val="none" w:sz="0" w:space="0" w:color="auto"/>
        <w:right w:val="none" w:sz="0" w:space="0" w:color="auto"/>
      </w:divBdr>
    </w:div>
    <w:div w:id="585849526">
      <w:bodyDiv w:val="1"/>
      <w:marLeft w:val="0"/>
      <w:marRight w:val="0"/>
      <w:marTop w:val="0"/>
      <w:marBottom w:val="0"/>
      <w:divBdr>
        <w:top w:val="none" w:sz="0" w:space="0" w:color="auto"/>
        <w:left w:val="none" w:sz="0" w:space="0" w:color="auto"/>
        <w:bottom w:val="none" w:sz="0" w:space="0" w:color="auto"/>
        <w:right w:val="none" w:sz="0" w:space="0" w:color="auto"/>
      </w:divBdr>
    </w:div>
    <w:div w:id="628315477">
      <w:bodyDiv w:val="1"/>
      <w:marLeft w:val="0"/>
      <w:marRight w:val="0"/>
      <w:marTop w:val="0"/>
      <w:marBottom w:val="0"/>
      <w:divBdr>
        <w:top w:val="none" w:sz="0" w:space="0" w:color="auto"/>
        <w:left w:val="none" w:sz="0" w:space="0" w:color="auto"/>
        <w:bottom w:val="none" w:sz="0" w:space="0" w:color="auto"/>
        <w:right w:val="none" w:sz="0" w:space="0" w:color="auto"/>
      </w:divBdr>
    </w:div>
    <w:div w:id="677852448">
      <w:bodyDiv w:val="1"/>
      <w:marLeft w:val="0"/>
      <w:marRight w:val="0"/>
      <w:marTop w:val="0"/>
      <w:marBottom w:val="0"/>
      <w:divBdr>
        <w:top w:val="none" w:sz="0" w:space="0" w:color="auto"/>
        <w:left w:val="none" w:sz="0" w:space="0" w:color="auto"/>
        <w:bottom w:val="none" w:sz="0" w:space="0" w:color="auto"/>
        <w:right w:val="none" w:sz="0" w:space="0" w:color="auto"/>
      </w:divBdr>
    </w:div>
    <w:div w:id="699475284">
      <w:bodyDiv w:val="1"/>
      <w:marLeft w:val="0"/>
      <w:marRight w:val="0"/>
      <w:marTop w:val="0"/>
      <w:marBottom w:val="0"/>
      <w:divBdr>
        <w:top w:val="none" w:sz="0" w:space="0" w:color="auto"/>
        <w:left w:val="none" w:sz="0" w:space="0" w:color="auto"/>
        <w:bottom w:val="none" w:sz="0" w:space="0" w:color="auto"/>
        <w:right w:val="none" w:sz="0" w:space="0" w:color="auto"/>
      </w:divBdr>
    </w:div>
    <w:div w:id="702704342">
      <w:bodyDiv w:val="1"/>
      <w:marLeft w:val="0"/>
      <w:marRight w:val="0"/>
      <w:marTop w:val="0"/>
      <w:marBottom w:val="0"/>
      <w:divBdr>
        <w:top w:val="none" w:sz="0" w:space="0" w:color="auto"/>
        <w:left w:val="none" w:sz="0" w:space="0" w:color="auto"/>
        <w:bottom w:val="none" w:sz="0" w:space="0" w:color="auto"/>
        <w:right w:val="none" w:sz="0" w:space="0" w:color="auto"/>
      </w:divBdr>
    </w:div>
    <w:div w:id="712776494">
      <w:bodyDiv w:val="1"/>
      <w:marLeft w:val="0"/>
      <w:marRight w:val="0"/>
      <w:marTop w:val="0"/>
      <w:marBottom w:val="0"/>
      <w:divBdr>
        <w:top w:val="none" w:sz="0" w:space="0" w:color="auto"/>
        <w:left w:val="none" w:sz="0" w:space="0" w:color="auto"/>
        <w:bottom w:val="none" w:sz="0" w:space="0" w:color="auto"/>
        <w:right w:val="none" w:sz="0" w:space="0" w:color="auto"/>
      </w:divBdr>
    </w:div>
    <w:div w:id="717626064">
      <w:bodyDiv w:val="1"/>
      <w:marLeft w:val="0"/>
      <w:marRight w:val="0"/>
      <w:marTop w:val="0"/>
      <w:marBottom w:val="0"/>
      <w:divBdr>
        <w:top w:val="none" w:sz="0" w:space="0" w:color="auto"/>
        <w:left w:val="none" w:sz="0" w:space="0" w:color="auto"/>
        <w:bottom w:val="none" w:sz="0" w:space="0" w:color="auto"/>
        <w:right w:val="none" w:sz="0" w:space="0" w:color="auto"/>
      </w:divBdr>
    </w:div>
    <w:div w:id="731856085">
      <w:bodyDiv w:val="1"/>
      <w:marLeft w:val="0"/>
      <w:marRight w:val="0"/>
      <w:marTop w:val="0"/>
      <w:marBottom w:val="0"/>
      <w:divBdr>
        <w:top w:val="none" w:sz="0" w:space="0" w:color="auto"/>
        <w:left w:val="none" w:sz="0" w:space="0" w:color="auto"/>
        <w:bottom w:val="none" w:sz="0" w:space="0" w:color="auto"/>
        <w:right w:val="none" w:sz="0" w:space="0" w:color="auto"/>
      </w:divBdr>
    </w:div>
    <w:div w:id="747387729">
      <w:bodyDiv w:val="1"/>
      <w:marLeft w:val="0"/>
      <w:marRight w:val="0"/>
      <w:marTop w:val="0"/>
      <w:marBottom w:val="0"/>
      <w:divBdr>
        <w:top w:val="none" w:sz="0" w:space="0" w:color="auto"/>
        <w:left w:val="none" w:sz="0" w:space="0" w:color="auto"/>
        <w:bottom w:val="none" w:sz="0" w:space="0" w:color="auto"/>
        <w:right w:val="none" w:sz="0" w:space="0" w:color="auto"/>
      </w:divBdr>
    </w:div>
    <w:div w:id="770008121">
      <w:bodyDiv w:val="1"/>
      <w:marLeft w:val="0"/>
      <w:marRight w:val="0"/>
      <w:marTop w:val="0"/>
      <w:marBottom w:val="0"/>
      <w:divBdr>
        <w:top w:val="none" w:sz="0" w:space="0" w:color="auto"/>
        <w:left w:val="none" w:sz="0" w:space="0" w:color="auto"/>
        <w:bottom w:val="none" w:sz="0" w:space="0" w:color="auto"/>
        <w:right w:val="none" w:sz="0" w:space="0" w:color="auto"/>
      </w:divBdr>
    </w:div>
    <w:div w:id="775518954">
      <w:bodyDiv w:val="1"/>
      <w:marLeft w:val="0"/>
      <w:marRight w:val="0"/>
      <w:marTop w:val="0"/>
      <w:marBottom w:val="0"/>
      <w:divBdr>
        <w:top w:val="none" w:sz="0" w:space="0" w:color="auto"/>
        <w:left w:val="none" w:sz="0" w:space="0" w:color="auto"/>
        <w:bottom w:val="none" w:sz="0" w:space="0" w:color="auto"/>
        <w:right w:val="none" w:sz="0" w:space="0" w:color="auto"/>
      </w:divBdr>
    </w:div>
    <w:div w:id="775561204">
      <w:bodyDiv w:val="1"/>
      <w:marLeft w:val="0"/>
      <w:marRight w:val="0"/>
      <w:marTop w:val="0"/>
      <w:marBottom w:val="0"/>
      <w:divBdr>
        <w:top w:val="none" w:sz="0" w:space="0" w:color="auto"/>
        <w:left w:val="none" w:sz="0" w:space="0" w:color="auto"/>
        <w:bottom w:val="none" w:sz="0" w:space="0" w:color="auto"/>
        <w:right w:val="none" w:sz="0" w:space="0" w:color="auto"/>
      </w:divBdr>
    </w:div>
    <w:div w:id="811824544">
      <w:bodyDiv w:val="1"/>
      <w:marLeft w:val="0"/>
      <w:marRight w:val="0"/>
      <w:marTop w:val="0"/>
      <w:marBottom w:val="0"/>
      <w:divBdr>
        <w:top w:val="none" w:sz="0" w:space="0" w:color="auto"/>
        <w:left w:val="none" w:sz="0" w:space="0" w:color="auto"/>
        <w:bottom w:val="none" w:sz="0" w:space="0" w:color="auto"/>
        <w:right w:val="none" w:sz="0" w:space="0" w:color="auto"/>
      </w:divBdr>
    </w:div>
    <w:div w:id="828255583">
      <w:bodyDiv w:val="1"/>
      <w:marLeft w:val="0"/>
      <w:marRight w:val="0"/>
      <w:marTop w:val="0"/>
      <w:marBottom w:val="0"/>
      <w:divBdr>
        <w:top w:val="none" w:sz="0" w:space="0" w:color="auto"/>
        <w:left w:val="none" w:sz="0" w:space="0" w:color="auto"/>
        <w:bottom w:val="none" w:sz="0" w:space="0" w:color="auto"/>
        <w:right w:val="none" w:sz="0" w:space="0" w:color="auto"/>
      </w:divBdr>
    </w:div>
    <w:div w:id="845172481">
      <w:bodyDiv w:val="1"/>
      <w:marLeft w:val="0"/>
      <w:marRight w:val="0"/>
      <w:marTop w:val="0"/>
      <w:marBottom w:val="0"/>
      <w:divBdr>
        <w:top w:val="none" w:sz="0" w:space="0" w:color="auto"/>
        <w:left w:val="none" w:sz="0" w:space="0" w:color="auto"/>
        <w:bottom w:val="none" w:sz="0" w:space="0" w:color="auto"/>
        <w:right w:val="none" w:sz="0" w:space="0" w:color="auto"/>
      </w:divBdr>
    </w:div>
    <w:div w:id="877664742">
      <w:bodyDiv w:val="1"/>
      <w:marLeft w:val="0"/>
      <w:marRight w:val="0"/>
      <w:marTop w:val="0"/>
      <w:marBottom w:val="0"/>
      <w:divBdr>
        <w:top w:val="none" w:sz="0" w:space="0" w:color="auto"/>
        <w:left w:val="none" w:sz="0" w:space="0" w:color="auto"/>
        <w:bottom w:val="none" w:sz="0" w:space="0" w:color="auto"/>
        <w:right w:val="none" w:sz="0" w:space="0" w:color="auto"/>
      </w:divBdr>
    </w:div>
    <w:div w:id="927620223">
      <w:bodyDiv w:val="1"/>
      <w:marLeft w:val="0"/>
      <w:marRight w:val="0"/>
      <w:marTop w:val="0"/>
      <w:marBottom w:val="0"/>
      <w:divBdr>
        <w:top w:val="none" w:sz="0" w:space="0" w:color="auto"/>
        <w:left w:val="none" w:sz="0" w:space="0" w:color="auto"/>
        <w:bottom w:val="none" w:sz="0" w:space="0" w:color="auto"/>
        <w:right w:val="none" w:sz="0" w:space="0" w:color="auto"/>
      </w:divBdr>
    </w:div>
    <w:div w:id="934752979">
      <w:bodyDiv w:val="1"/>
      <w:marLeft w:val="0"/>
      <w:marRight w:val="0"/>
      <w:marTop w:val="0"/>
      <w:marBottom w:val="0"/>
      <w:divBdr>
        <w:top w:val="none" w:sz="0" w:space="0" w:color="auto"/>
        <w:left w:val="none" w:sz="0" w:space="0" w:color="auto"/>
        <w:bottom w:val="none" w:sz="0" w:space="0" w:color="auto"/>
        <w:right w:val="none" w:sz="0" w:space="0" w:color="auto"/>
      </w:divBdr>
    </w:div>
    <w:div w:id="944578329">
      <w:bodyDiv w:val="1"/>
      <w:marLeft w:val="0"/>
      <w:marRight w:val="0"/>
      <w:marTop w:val="0"/>
      <w:marBottom w:val="0"/>
      <w:divBdr>
        <w:top w:val="none" w:sz="0" w:space="0" w:color="auto"/>
        <w:left w:val="none" w:sz="0" w:space="0" w:color="auto"/>
        <w:bottom w:val="none" w:sz="0" w:space="0" w:color="auto"/>
        <w:right w:val="none" w:sz="0" w:space="0" w:color="auto"/>
      </w:divBdr>
    </w:div>
    <w:div w:id="956105236">
      <w:bodyDiv w:val="1"/>
      <w:marLeft w:val="0"/>
      <w:marRight w:val="0"/>
      <w:marTop w:val="0"/>
      <w:marBottom w:val="0"/>
      <w:divBdr>
        <w:top w:val="none" w:sz="0" w:space="0" w:color="auto"/>
        <w:left w:val="none" w:sz="0" w:space="0" w:color="auto"/>
        <w:bottom w:val="none" w:sz="0" w:space="0" w:color="auto"/>
        <w:right w:val="none" w:sz="0" w:space="0" w:color="auto"/>
      </w:divBdr>
    </w:div>
    <w:div w:id="958603297">
      <w:bodyDiv w:val="1"/>
      <w:marLeft w:val="0"/>
      <w:marRight w:val="0"/>
      <w:marTop w:val="0"/>
      <w:marBottom w:val="0"/>
      <w:divBdr>
        <w:top w:val="none" w:sz="0" w:space="0" w:color="auto"/>
        <w:left w:val="none" w:sz="0" w:space="0" w:color="auto"/>
        <w:bottom w:val="none" w:sz="0" w:space="0" w:color="auto"/>
        <w:right w:val="none" w:sz="0" w:space="0" w:color="auto"/>
      </w:divBdr>
    </w:div>
    <w:div w:id="970092060">
      <w:bodyDiv w:val="1"/>
      <w:marLeft w:val="0"/>
      <w:marRight w:val="0"/>
      <w:marTop w:val="0"/>
      <w:marBottom w:val="0"/>
      <w:divBdr>
        <w:top w:val="none" w:sz="0" w:space="0" w:color="auto"/>
        <w:left w:val="none" w:sz="0" w:space="0" w:color="auto"/>
        <w:bottom w:val="none" w:sz="0" w:space="0" w:color="auto"/>
        <w:right w:val="none" w:sz="0" w:space="0" w:color="auto"/>
      </w:divBdr>
    </w:div>
    <w:div w:id="977877123">
      <w:bodyDiv w:val="1"/>
      <w:marLeft w:val="0"/>
      <w:marRight w:val="0"/>
      <w:marTop w:val="0"/>
      <w:marBottom w:val="0"/>
      <w:divBdr>
        <w:top w:val="none" w:sz="0" w:space="0" w:color="auto"/>
        <w:left w:val="none" w:sz="0" w:space="0" w:color="auto"/>
        <w:bottom w:val="none" w:sz="0" w:space="0" w:color="auto"/>
        <w:right w:val="none" w:sz="0" w:space="0" w:color="auto"/>
      </w:divBdr>
    </w:div>
    <w:div w:id="981157644">
      <w:bodyDiv w:val="1"/>
      <w:marLeft w:val="0"/>
      <w:marRight w:val="0"/>
      <w:marTop w:val="0"/>
      <w:marBottom w:val="0"/>
      <w:divBdr>
        <w:top w:val="none" w:sz="0" w:space="0" w:color="auto"/>
        <w:left w:val="none" w:sz="0" w:space="0" w:color="auto"/>
        <w:bottom w:val="none" w:sz="0" w:space="0" w:color="auto"/>
        <w:right w:val="none" w:sz="0" w:space="0" w:color="auto"/>
      </w:divBdr>
    </w:div>
    <w:div w:id="1018196589">
      <w:bodyDiv w:val="1"/>
      <w:marLeft w:val="0"/>
      <w:marRight w:val="0"/>
      <w:marTop w:val="0"/>
      <w:marBottom w:val="0"/>
      <w:divBdr>
        <w:top w:val="none" w:sz="0" w:space="0" w:color="auto"/>
        <w:left w:val="none" w:sz="0" w:space="0" w:color="auto"/>
        <w:bottom w:val="none" w:sz="0" w:space="0" w:color="auto"/>
        <w:right w:val="none" w:sz="0" w:space="0" w:color="auto"/>
      </w:divBdr>
    </w:div>
    <w:div w:id="1034115241">
      <w:bodyDiv w:val="1"/>
      <w:marLeft w:val="0"/>
      <w:marRight w:val="0"/>
      <w:marTop w:val="0"/>
      <w:marBottom w:val="0"/>
      <w:divBdr>
        <w:top w:val="none" w:sz="0" w:space="0" w:color="auto"/>
        <w:left w:val="none" w:sz="0" w:space="0" w:color="auto"/>
        <w:bottom w:val="none" w:sz="0" w:space="0" w:color="auto"/>
        <w:right w:val="none" w:sz="0" w:space="0" w:color="auto"/>
      </w:divBdr>
    </w:div>
    <w:div w:id="1051727205">
      <w:bodyDiv w:val="1"/>
      <w:marLeft w:val="0"/>
      <w:marRight w:val="0"/>
      <w:marTop w:val="0"/>
      <w:marBottom w:val="0"/>
      <w:divBdr>
        <w:top w:val="none" w:sz="0" w:space="0" w:color="auto"/>
        <w:left w:val="none" w:sz="0" w:space="0" w:color="auto"/>
        <w:bottom w:val="none" w:sz="0" w:space="0" w:color="auto"/>
        <w:right w:val="none" w:sz="0" w:space="0" w:color="auto"/>
      </w:divBdr>
    </w:div>
    <w:div w:id="1059090796">
      <w:bodyDiv w:val="1"/>
      <w:marLeft w:val="0"/>
      <w:marRight w:val="0"/>
      <w:marTop w:val="0"/>
      <w:marBottom w:val="0"/>
      <w:divBdr>
        <w:top w:val="none" w:sz="0" w:space="0" w:color="auto"/>
        <w:left w:val="none" w:sz="0" w:space="0" w:color="auto"/>
        <w:bottom w:val="none" w:sz="0" w:space="0" w:color="auto"/>
        <w:right w:val="none" w:sz="0" w:space="0" w:color="auto"/>
      </w:divBdr>
    </w:div>
    <w:div w:id="1074399569">
      <w:bodyDiv w:val="1"/>
      <w:marLeft w:val="0"/>
      <w:marRight w:val="0"/>
      <w:marTop w:val="0"/>
      <w:marBottom w:val="0"/>
      <w:divBdr>
        <w:top w:val="none" w:sz="0" w:space="0" w:color="auto"/>
        <w:left w:val="none" w:sz="0" w:space="0" w:color="auto"/>
        <w:bottom w:val="none" w:sz="0" w:space="0" w:color="auto"/>
        <w:right w:val="none" w:sz="0" w:space="0" w:color="auto"/>
      </w:divBdr>
    </w:div>
    <w:div w:id="1080063123">
      <w:bodyDiv w:val="1"/>
      <w:marLeft w:val="0"/>
      <w:marRight w:val="0"/>
      <w:marTop w:val="0"/>
      <w:marBottom w:val="0"/>
      <w:divBdr>
        <w:top w:val="none" w:sz="0" w:space="0" w:color="auto"/>
        <w:left w:val="none" w:sz="0" w:space="0" w:color="auto"/>
        <w:bottom w:val="none" w:sz="0" w:space="0" w:color="auto"/>
        <w:right w:val="none" w:sz="0" w:space="0" w:color="auto"/>
      </w:divBdr>
    </w:div>
    <w:div w:id="1083451354">
      <w:bodyDiv w:val="1"/>
      <w:marLeft w:val="0"/>
      <w:marRight w:val="0"/>
      <w:marTop w:val="0"/>
      <w:marBottom w:val="0"/>
      <w:divBdr>
        <w:top w:val="none" w:sz="0" w:space="0" w:color="auto"/>
        <w:left w:val="none" w:sz="0" w:space="0" w:color="auto"/>
        <w:bottom w:val="none" w:sz="0" w:space="0" w:color="auto"/>
        <w:right w:val="none" w:sz="0" w:space="0" w:color="auto"/>
      </w:divBdr>
    </w:div>
    <w:div w:id="1090158356">
      <w:bodyDiv w:val="1"/>
      <w:marLeft w:val="0"/>
      <w:marRight w:val="0"/>
      <w:marTop w:val="0"/>
      <w:marBottom w:val="0"/>
      <w:divBdr>
        <w:top w:val="none" w:sz="0" w:space="0" w:color="auto"/>
        <w:left w:val="none" w:sz="0" w:space="0" w:color="auto"/>
        <w:bottom w:val="none" w:sz="0" w:space="0" w:color="auto"/>
        <w:right w:val="none" w:sz="0" w:space="0" w:color="auto"/>
      </w:divBdr>
    </w:div>
    <w:div w:id="1160078128">
      <w:bodyDiv w:val="1"/>
      <w:marLeft w:val="0"/>
      <w:marRight w:val="0"/>
      <w:marTop w:val="0"/>
      <w:marBottom w:val="0"/>
      <w:divBdr>
        <w:top w:val="none" w:sz="0" w:space="0" w:color="auto"/>
        <w:left w:val="none" w:sz="0" w:space="0" w:color="auto"/>
        <w:bottom w:val="none" w:sz="0" w:space="0" w:color="auto"/>
        <w:right w:val="none" w:sz="0" w:space="0" w:color="auto"/>
      </w:divBdr>
    </w:div>
    <w:div w:id="1200968677">
      <w:bodyDiv w:val="1"/>
      <w:marLeft w:val="0"/>
      <w:marRight w:val="0"/>
      <w:marTop w:val="0"/>
      <w:marBottom w:val="0"/>
      <w:divBdr>
        <w:top w:val="none" w:sz="0" w:space="0" w:color="auto"/>
        <w:left w:val="none" w:sz="0" w:space="0" w:color="auto"/>
        <w:bottom w:val="none" w:sz="0" w:space="0" w:color="auto"/>
        <w:right w:val="none" w:sz="0" w:space="0" w:color="auto"/>
      </w:divBdr>
    </w:div>
    <w:div w:id="1202203143">
      <w:bodyDiv w:val="1"/>
      <w:marLeft w:val="0"/>
      <w:marRight w:val="0"/>
      <w:marTop w:val="0"/>
      <w:marBottom w:val="0"/>
      <w:divBdr>
        <w:top w:val="none" w:sz="0" w:space="0" w:color="auto"/>
        <w:left w:val="none" w:sz="0" w:space="0" w:color="auto"/>
        <w:bottom w:val="none" w:sz="0" w:space="0" w:color="auto"/>
        <w:right w:val="none" w:sz="0" w:space="0" w:color="auto"/>
      </w:divBdr>
    </w:div>
    <w:div w:id="1218277851">
      <w:bodyDiv w:val="1"/>
      <w:marLeft w:val="0"/>
      <w:marRight w:val="0"/>
      <w:marTop w:val="0"/>
      <w:marBottom w:val="0"/>
      <w:divBdr>
        <w:top w:val="none" w:sz="0" w:space="0" w:color="auto"/>
        <w:left w:val="none" w:sz="0" w:space="0" w:color="auto"/>
        <w:bottom w:val="none" w:sz="0" w:space="0" w:color="auto"/>
        <w:right w:val="none" w:sz="0" w:space="0" w:color="auto"/>
      </w:divBdr>
    </w:div>
    <w:div w:id="1228955316">
      <w:bodyDiv w:val="1"/>
      <w:marLeft w:val="0"/>
      <w:marRight w:val="0"/>
      <w:marTop w:val="0"/>
      <w:marBottom w:val="0"/>
      <w:divBdr>
        <w:top w:val="none" w:sz="0" w:space="0" w:color="auto"/>
        <w:left w:val="none" w:sz="0" w:space="0" w:color="auto"/>
        <w:bottom w:val="none" w:sz="0" w:space="0" w:color="auto"/>
        <w:right w:val="none" w:sz="0" w:space="0" w:color="auto"/>
      </w:divBdr>
    </w:div>
    <w:div w:id="1245606673">
      <w:bodyDiv w:val="1"/>
      <w:marLeft w:val="0"/>
      <w:marRight w:val="0"/>
      <w:marTop w:val="0"/>
      <w:marBottom w:val="0"/>
      <w:divBdr>
        <w:top w:val="none" w:sz="0" w:space="0" w:color="auto"/>
        <w:left w:val="none" w:sz="0" w:space="0" w:color="auto"/>
        <w:bottom w:val="none" w:sz="0" w:space="0" w:color="auto"/>
        <w:right w:val="none" w:sz="0" w:space="0" w:color="auto"/>
      </w:divBdr>
    </w:div>
    <w:div w:id="1280067353">
      <w:bodyDiv w:val="1"/>
      <w:marLeft w:val="0"/>
      <w:marRight w:val="0"/>
      <w:marTop w:val="0"/>
      <w:marBottom w:val="0"/>
      <w:divBdr>
        <w:top w:val="none" w:sz="0" w:space="0" w:color="auto"/>
        <w:left w:val="none" w:sz="0" w:space="0" w:color="auto"/>
        <w:bottom w:val="none" w:sz="0" w:space="0" w:color="auto"/>
        <w:right w:val="none" w:sz="0" w:space="0" w:color="auto"/>
      </w:divBdr>
    </w:div>
    <w:div w:id="1341928363">
      <w:bodyDiv w:val="1"/>
      <w:marLeft w:val="0"/>
      <w:marRight w:val="0"/>
      <w:marTop w:val="0"/>
      <w:marBottom w:val="0"/>
      <w:divBdr>
        <w:top w:val="none" w:sz="0" w:space="0" w:color="auto"/>
        <w:left w:val="none" w:sz="0" w:space="0" w:color="auto"/>
        <w:bottom w:val="none" w:sz="0" w:space="0" w:color="auto"/>
        <w:right w:val="none" w:sz="0" w:space="0" w:color="auto"/>
      </w:divBdr>
    </w:div>
    <w:div w:id="1354039489">
      <w:bodyDiv w:val="1"/>
      <w:marLeft w:val="0"/>
      <w:marRight w:val="0"/>
      <w:marTop w:val="0"/>
      <w:marBottom w:val="0"/>
      <w:divBdr>
        <w:top w:val="none" w:sz="0" w:space="0" w:color="auto"/>
        <w:left w:val="none" w:sz="0" w:space="0" w:color="auto"/>
        <w:bottom w:val="none" w:sz="0" w:space="0" w:color="auto"/>
        <w:right w:val="none" w:sz="0" w:space="0" w:color="auto"/>
      </w:divBdr>
    </w:div>
    <w:div w:id="1408501400">
      <w:bodyDiv w:val="1"/>
      <w:marLeft w:val="0"/>
      <w:marRight w:val="0"/>
      <w:marTop w:val="0"/>
      <w:marBottom w:val="0"/>
      <w:divBdr>
        <w:top w:val="none" w:sz="0" w:space="0" w:color="auto"/>
        <w:left w:val="none" w:sz="0" w:space="0" w:color="auto"/>
        <w:bottom w:val="none" w:sz="0" w:space="0" w:color="auto"/>
        <w:right w:val="none" w:sz="0" w:space="0" w:color="auto"/>
      </w:divBdr>
    </w:div>
    <w:div w:id="1410883736">
      <w:bodyDiv w:val="1"/>
      <w:marLeft w:val="0"/>
      <w:marRight w:val="0"/>
      <w:marTop w:val="0"/>
      <w:marBottom w:val="0"/>
      <w:divBdr>
        <w:top w:val="none" w:sz="0" w:space="0" w:color="auto"/>
        <w:left w:val="none" w:sz="0" w:space="0" w:color="auto"/>
        <w:bottom w:val="none" w:sz="0" w:space="0" w:color="auto"/>
        <w:right w:val="none" w:sz="0" w:space="0" w:color="auto"/>
      </w:divBdr>
    </w:div>
    <w:div w:id="1413039936">
      <w:bodyDiv w:val="1"/>
      <w:marLeft w:val="0"/>
      <w:marRight w:val="0"/>
      <w:marTop w:val="0"/>
      <w:marBottom w:val="0"/>
      <w:divBdr>
        <w:top w:val="none" w:sz="0" w:space="0" w:color="auto"/>
        <w:left w:val="none" w:sz="0" w:space="0" w:color="auto"/>
        <w:bottom w:val="none" w:sz="0" w:space="0" w:color="auto"/>
        <w:right w:val="none" w:sz="0" w:space="0" w:color="auto"/>
      </w:divBdr>
    </w:div>
    <w:div w:id="1422488971">
      <w:bodyDiv w:val="1"/>
      <w:marLeft w:val="0"/>
      <w:marRight w:val="0"/>
      <w:marTop w:val="0"/>
      <w:marBottom w:val="0"/>
      <w:divBdr>
        <w:top w:val="none" w:sz="0" w:space="0" w:color="auto"/>
        <w:left w:val="none" w:sz="0" w:space="0" w:color="auto"/>
        <w:bottom w:val="none" w:sz="0" w:space="0" w:color="auto"/>
        <w:right w:val="none" w:sz="0" w:space="0" w:color="auto"/>
      </w:divBdr>
    </w:div>
    <w:div w:id="1433210897">
      <w:bodyDiv w:val="1"/>
      <w:marLeft w:val="0"/>
      <w:marRight w:val="0"/>
      <w:marTop w:val="0"/>
      <w:marBottom w:val="0"/>
      <w:divBdr>
        <w:top w:val="none" w:sz="0" w:space="0" w:color="auto"/>
        <w:left w:val="none" w:sz="0" w:space="0" w:color="auto"/>
        <w:bottom w:val="none" w:sz="0" w:space="0" w:color="auto"/>
        <w:right w:val="none" w:sz="0" w:space="0" w:color="auto"/>
      </w:divBdr>
    </w:div>
    <w:div w:id="1445684574">
      <w:bodyDiv w:val="1"/>
      <w:marLeft w:val="0"/>
      <w:marRight w:val="0"/>
      <w:marTop w:val="0"/>
      <w:marBottom w:val="0"/>
      <w:divBdr>
        <w:top w:val="none" w:sz="0" w:space="0" w:color="auto"/>
        <w:left w:val="none" w:sz="0" w:space="0" w:color="auto"/>
        <w:bottom w:val="none" w:sz="0" w:space="0" w:color="auto"/>
        <w:right w:val="none" w:sz="0" w:space="0" w:color="auto"/>
      </w:divBdr>
    </w:div>
    <w:div w:id="1469057307">
      <w:bodyDiv w:val="1"/>
      <w:marLeft w:val="0"/>
      <w:marRight w:val="0"/>
      <w:marTop w:val="0"/>
      <w:marBottom w:val="0"/>
      <w:divBdr>
        <w:top w:val="none" w:sz="0" w:space="0" w:color="auto"/>
        <w:left w:val="none" w:sz="0" w:space="0" w:color="auto"/>
        <w:bottom w:val="none" w:sz="0" w:space="0" w:color="auto"/>
        <w:right w:val="none" w:sz="0" w:space="0" w:color="auto"/>
      </w:divBdr>
    </w:div>
    <w:div w:id="1473446466">
      <w:bodyDiv w:val="1"/>
      <w:marLeft w:val="0"/>
      <w:marRight w:val="0"/>
      <w:marTop w:val="0"/>
      <w:marBottom w:val="0"/>
      <w:divBdr>
        <w:top w:val="none" w:sz="0" w:space="0" w:color="auto"/>
        <w:left w:val="none" w:sz="0" w:space="0" w:color="auto"/>
        <w:bottom w:val="none" w:sz="0" w:space="0" w:color="auto"/>
        <w:right w:val="none" w:sz="0" w:space="0" w:color="auto"/>
      </w:divBdr>
    </w:div>
    <w:div w:id="1527478173">
      <w:bodyDiv w:val="1"/>
      <w:marLeft w:val="0"/>
      <w:marRight w:val="0"/>
      <w:marTop w:val="0"/>
      <w:marBottom w:val="0"/>
      <w:divBdr>
        <w:top w:val="none" w:sz="0" w:space="0" w:color="auto"/>
        <w:left w:val="none" w:sz="0" w:space="0" w:color="auto"/>
        <w:bottom w:val="none" w:sz="0" w:space="0" w:color="auto"/>
        <w:right w:val="none" w:sz="0" w:space="0" w:color="auto"/>
      </w:divBdr>
    </w:div>
    <w:div w:id="1544757371">
      <w:bodyDiv w:val="1"/>
      <w:marLeft w:val="0"/>
      <w:marRight w:val="0"/>
      <w:marTop w:val="0"/>
      <w:marBottom w:val="0"/>
      <w:divBdr>
        <w:top w:val="none" w:sz="0" w:space="0" w:color="auto"/>
        <w:left w:val="none" w:sz="0" w:space="0" w:color="auto"/>
        <w:bottom w:val="none" w:sz="0" w:space="0" w:color="auto"/>
        <w:right w:val="none" w:sz="0" w:space="0" w:color="auto"/>
      </w:divBdr>
    </w:div>
    <w:div w:id="1569462797">
      <w:bodyDiv w:val="1"/>
      <w:marLeft w:val="0"/>
      <w:marRight w:val="0"/>
      <w:marTop w:val="0"/>
      <w:marBottom w:val="0"/>
      <w:divBdr>
        <w:top w:val="none" w:sz="0" w:space="0" w:color="auto"/>
        <w:left w:val="none" w:sz="0" w:space="0" w:color="auto"/>
        <w:bottom w:val="none" w:sz="0" w:space="0" w:color="auto"/>
        <w:right w:val="none" w:sz="0" w:space="0" w:color="auto"/>
      </w:divBdr>
    </w:div>
    <w:div w:id="1608272013">
      <w:bodyDiv w:val="1"/>
      <w:marLeft w:val="0"/>
      <w:marRight w:val="0"/>
      <w:marTop w:val="0"/>
      <w:marBottom w:val="0"/>
      <w:divBdr>
        <w:top w:val="none" w:sz="0" w:space="0" w:color="auto"/>
        <w:left w:val="none" w:sz="0" w:space="0" w:color="auto"/>
        <w:bottom w:val="none" w:sz="0" w:space="0" w:color="auto"/>
        <w:right w:val="none" w:sz="0" w:space="0" w:color="auto"/>
      </w:divBdr>
    </w:div>
    <w:div w:id="1615593834">
      <w:bodyDiv w:val="1"/>
      <w:marLeft w:val="0"/>
      <w:marRight w:val="0"/>
      <w:marTop w:val="0"/>
      <w:marBottom w:val="0"/>
      <w:divBdr>
        <w:top w:val="none" w:sz="0" w:space="0" w:color="auto"/>
        <w:left w:val="none" w:sz="0" w:space="0" w:color="auto"/>
        <w:bottom w:val="none" w:sz="0" w:space="0" w:color="auto"/>
        <w:right w:val="none" w:sz="0" w:space="0" w:color="auto"/>
      </w:divBdr>
    </w:div>
    <w:div w:id="1617440750">
      <w:bodyDiv w:val="1"/>
      <w:marLeft w:val="0"/>
      <w:marRight w:val="0"/>
      <w:marTop w:val="0"/>
      <w:marBottom w:val="0"/>
      <w:divBdr>
        <w:top w:val="none" w:sz="0" w:space="0" w:color="auto"/>
        <w:left w:val="none" w:sz="0" w:space="0" w:color="auto"/>
        <w:bottom w:val="none" w:sz="0" w:space="0" w:color="auto"/>
        <w:right w:val="none" w:sz="0" w:space="0" w:color="auto"/>
      </w:divBdr>
    </w:div>
    <w:div w:id="1625114811">
      <w:bodyDiv w:val="1"/>
      <w:marLeft w:val="0"/>
      <w:marRight w:val="0"/>
      <w:marTop w:val="0"/>
      <w:marBottom w:val="0"/>
      <w:divBdr>
        <w:top w:val="none" w:sz="0" w:space="0" w:color="auto"/>
        <w:left w:val="none" w:sz="0" w:space="0" w:color="auto"/>
        <w:bottom w:val="none" w:sz="0" w:space="0" w:color="auto"/>
        <w:right w:val="none" w:sz="0" w:space="0" w:color="auto"/>
      </w:divBdr>
    </w:div>
    <w:div w:id="1651013827">
      <w:bodyDiv w:val="1"/>
      <w:marLeft w:val="0"/>
      <w:marRight w:val="0"/>
      <w:marTop w:val="0"/>
      <w:marBottom w:val="0"/>
      <w:divBdr>
        <w:top w:val="none" w:sz="0" w:space="0" w:color="auto"/>
        <w:left w:val="none" w:sz="0" w:space="0" w:color="auto"/>
        <w:bottom w:val="none" w:sz="0" w:space="0" w:color="auto"/>
        <w:right w:val="none" w:sz="0" w:space="0" w:color="auto"/>
      </w:divBdr>
    </w:div>
    <w:div w:id="1664432463">
      <w:bodyDiv w:val="1"/>
      <w:marLeft w:val="0"/>
      <w:marRight w:val="0"/>
      <w:marTop w:val="0"/>
      <w:marBottom w:val="0"/>
      <w:divBdr>
        <w:top w:val="none" w:sz="0" w:space="0" w:color="auto"/>
        <w:left w:val="none" w:sz="0" w:space="0" w:color="auto"/>
        <w:bottom w:val="none" w:sz="0" w:space="0" w:color="auto"/>
        <w:right w:val="none" w:sz="0" w:space="0" w:color="auto"/>
      </w:divBdr>
    </w:div>
    <w:div w:id="1666859619">
      <w:bodyDiv w:val="1"/>
      <w:marLeft w:val="0"/>
      <w:marRight w:val="0"/>
      <w:marTop w:val="0"/>
      <w:marBottom w:val="0"/>
      <w:divBdr>
        <w:top w:val="none" w:sz="0" w:space="0" w:color="auto"/>
        <w:left w:val="none" w:sz="0" w:space="0" w:color="auto"/>
        <w:bottom w:val="none" w:sz="0" w:space="0" w:color="auto"/>
        <w:right w:val="none" w:sz="0" w:space="0" w:color="auto"/>
      </w:divBdr>
    </w:div>
    <w:div w:id="1676688125">
      <w:bodyDiv w:val="1"/>
      <w:marLeft w:val="0"/>
      <w:marRight w:val="0"/>
      <w:marTop w:val="0"/>
      <w:marBottom w:val="0"/>
      <w:divBdr>
        <w:top w:val="none" w:sz="0" w:space="0" w:color="auto"/>
        <w:left w:val="none" w:sz="0" w:space="0" w:color="auto"/>
        <w:bottom w:val="none" w:sz="0" w:space="0" w:color="auto"/>
        <w:right w:val="none" w:sz="0" w:space="0" w:color="auto"/>
      </w:divBdr>
    </w:div>
    <w:div w:id="1683506010">
      <w:bodyDiv w:val="1"/>
      <w:marLeft w:val="0"/>
      <w:marRight w:val="0"/>
      <w:marTop w:val="0"/>
      <w:marBottom w:val="0"/>
      <w:divBdr>
        <w:top w:val="none" w:sz="0" w:space="0" w:color="auto"/>
        <w:left w:val="none" w:sz="0" w:space="0" w:color="auto"/>
        <w:bottom w:val="none" w:sz="0" w:space="0" w:color="auto"/>
        <w:right w:val="none" w:sz="0" w:space="0" w:color="auto"/>
      </w:divBdr>
    </w:div>
    <w:div w:id="1694577461">
      <w:bodyDiv w:val="1"/>
      <w:marLeft w:val="0"/>
      <w:marRight w:val="0"/>
      <w:marTop w:val="0"/>
      <w:marBottom w:val="0"/>
      <w:divBdr>
        <w:top w:val="none" w:sz="0" w:space="0" w:color="auto"/>
        <w:left w:val="none" w:sz="0" w:space="0" w:color="auto"/>
        <w:bottom w:val="none" w:sz="0" w:space="0" w:color="auto"/>
        <w:right w:val="none" w:sz="0" w:space="0" w:color="auto"/>
      </w:divBdr>
    </w:div>
    <w:div w:id="1715808126">
      <w:bodyDiv w:val="1"/>
      <w:marLeft w:val="0"/>
      <w:marRight w:val="0"/>
      <w:marTop w:val="0"/>
      <w:marBottom w:val="0"/>
      <w:divBdr>
        <w:top w:val="none" w:sz="0" w:space="0" w:color="auto"/>
        <w:left w:val="none" w:sz="0" w:space="0" w:color="auto"/>
        <w:bottom w:val="none" w:sz="0" w:space="0" w:color="auto"/>
        <w:right w:val="none" w:sz="0" w:space="0" w:color="auto"/>
      </w:divBdr>
    </w:div>
    <w:div w:id="1723365216">
      <w:bodyDiv w:val="1"/>
      <w:marLeft w:val="0"/>
      <w:marRight w:val="0"/>
      <w:marTop w:val="0"/>
      <w:marBottom w:val="0"/>
      <w:divBdr>
        <w:top w:val="none" w:sz="0" w:space="0" w:color="auto"/>
        <w:left w:val="none" w:sz="0" w:space="0" w:color="auto"/>
        <w:bottom w:val="none" w:sz="0" w:space="0" w:color="auto"/>
        <w:right w:val="none" w:sz="0" w:space="0" w:color="auto"/>
      </w:divBdr>
    </w:div>
    <w:div w:id="1738700213">
      <w:bodyDiv w:val="1"/>
      <w:marLeft w:val="0"/>
      <w:marRight w:val="0"/>
      <w:marTop w:val="0"/>
      <w:marBottom w:val="0"/>
      <w:divBdr>
        <w:top w:val="none" w:sz="0" w:space="0" w:color="auto"/>
        <w:left w:val="none" w:sz="0" w:space="0" w:color="auto"/>
        <w:bottom w:val="none" w:sz="0" w:space="0" w:color="auto"/>
        <w:right w:val="none" w:sz="0" w:space="0" w:color="auto"/>
      </w:divBdr>
    </w:div>
    <w:div w:id="1754619116">
      <w:bodyDiv w:val="1"/>
      <w:marLeft w:val="0"/>
      <w:marRight w:val="0"/>
      <w:marTop w:val="0"/>
      <w:marBottom w:val="0"/>
      <w:divBdr>
        <w:top w:val="none" w:sz="0" w:space="0" w:color="auto"/>
        <w:left w:val="none" w:sz="0" w:space="0" w:color="auto"/>
        <w:bottom w:val="none" w:sz="0" w:space="0" w:color="auto"/>
        <w:right w:val="none" w:sz="0" w:space="0" w:color="auto"/>
      </w:divBdr>
    </w:div>
    <w:div w:id="1760297095">
      <w:bodyDiv w:val="1"/>
      <w:marLeft w:val="0"/>
      <w:marRight w:val="0"/>
      <w:marTop w:val="0"/>
      <w:marBottom w:val="0"/>
      <w:divBdr>
        <w:top w:val="none" w:sz="0" w:space="0" w:color="auto"/>
        <w:left w:val="none" w:sz="0" w:space="0" w:color="auto"/>
        <w:bottom w:val="none" w:sz="0" w:space="0" w:color="auto"/>
        <w:right w:val="none" w:sz="0" w:space="0" w:color="auto"/>
      </w:divBdr>
    </w:div>
    <w:div w:id="1772697783">
      <w:bodyDiv w:val="1"/>
      <w:marLeft w:val="0"/>
      <w:marRight w:val="0"/>
      <w:marTop w:val="0"/>
      <w:marBottom w:val="0"/>
      <w:divBdr>
        <w:top w:val="none" w:sz="0" w:space="0" w:color="auto"/>
        <w:left w:val="none" w:sz="0" w:space="0" w:color="auto"/>
        <w:bottom w:val="none" w:sz="0" w:space="0" w:color="auto"/>
        <w:right w:val="none" w:sz="0" w:space="0" w:color="auto"/>
      </w:divBdr>
    </w:div>
    <w:div w:id="1779373862">
      <w:bodyDiv w:val="1"/>
      <w:marLeft w:val="0"/>
      <w:marRight w:val="0"/>
      <w:marTop w:val="0"/>
      <w:marBottom w:val="0"/>
      <w:divBdr>
        <w:top w:val="none" w:sz="0" w:space="0" w:color="auto"/>
        <w:left w:val="none" w:sz="0" w:space="0" w:color="auto"/>
        <w:bottom w:val="none" w:sz="0" w:space="0" w:color="auto"/>
        <w:right w:val="none" w:sz="0" w:space="0" w:color="auto"/>
      </w:divBdr>
    </w:div>
    <w:div w:id="1793749397">
      <w:bodyDiv w:val="1"/>
      <w:marLeft w:val="0"/>
      <w:marRight w:val="0"/>
      <w:marTop w:val="0"/>
      <w:marBottom w:val="0"/>
      <w:divBdr>
        <w:top w:val="none" w:sz="0" w:space="0" w:color="auto"/>
        <w:left w:val="none" w:sz="0" w:space="0" w:color="auto"/>
        <w:bottom w:val="none" w:sz="0" w:space="0" w:color="auto"/>
        <w:right w:val="none" w:sz="0" w:space="0" w:color="auto"/>
      </w:divBdr>
    </w:div>
    <w:div w:id="1816414636">
      <w:bodyDiv w:val="1"/>
      <w:marLeft w:val="0"/>
      <w:marRight w:val="0"/>
      <w:marTop w:val="0"/>
      <w:marBottom w:val="0"/>
      <w:divBdr>
        <w:top w:val="none" w:sz="0" w:space="0" w:color="auto"/>
        <w:left w:val="none" w:sz="0" w:space="0" w:color="auto"/>
        <w:bottom w:val="none" w:sz="0" w:space="0" w:color="auto"/>
        <w:right w:val="none" w:sz="0" w:space="0" w:color="auto"/>
      </w:divBdr>
    </w:div>
    <w:div w:id="1819030189">
      <w:bodyDiv w:val="1"/>
      <w:marLeft w:val="0"/>
      <w:marRight w:val="0"/>
      <w:marTop w:val="0"/>
      <w:marBottom w:val="0"/>
      <w:divBdr>
        <w:top w:val="none" w:sz="0" w:space="0" w:color="auto"/>
        <w:left w:val="none" w:sz="0" w:space="0" w:color="auto"/>
        <w:bottom w:val="none" w:sz="0" w:space="0" w:color="auto"/>
        <w:right w:val="none" w:sz="0" w:space="0" w:color="auto"/>
      </w:divBdr>
    </w:div>
    <w:div w:id="1831672284">
      <w:bodyDiv w:val="1"/>
      <w:marLeft w:val="0"/>
      <w:marRight w:val="0"/>
      <w:marTop w:val="0"/>
      <w:marBottom w:val="0"/>
      <w:divBdr>
        <w:top w:val="none" w:sz="0" w:space="0" w:color="auto"/>
        <w:left w:val="none" w:sz="0" w:space="0" w:color="auto"/>
        <w:bottom w:val="none" w:sz="0" w:space="0" w:color="auto"/>
        <w:right w:val="none" w:sz="0" w:space="0" w:color="auto"/>
      </w:divBdr>
    </w:div>
    <w:div w:id="1834222433">
      <w:bodyDiv w:val="1"/>
      <w:marLeft w:val="0"/>
      <w:marRight w:val="0"/>
      <w:marTop w:val="0"/>
      <w:marBottom w:val="0"/>
      <w:divBdr>
        <w:top w:val="none" w:sz="0" w:space="0" w:color="auto"/>
        <w:left w:val="none" w:sz="0" w:space="0" w:color="auto"/>
        <w:bottom w:val="none" w:sz="0" w:space="0" w:color="auto"/>
        <w:right w:val="none" w:sz="0" w:space="0" w:color="auto"/>
      </w:divBdr>
    </w:div>
    <w:div w:id="1851332545">
      <w:bodyDiv w:val="1"/>
      <w:marLeft w:val="0"/>
      <w:marRight w:val="0"/>
      <w:marTop w:val="0"/>
      <w:marBottom w:val="0"/>
      <w:divBdr>
        <w:top w:val="none" w:sz="0" w:space="0" w:color="auto"/>
        <w:left w:val="none" w:sz="0" w:space="0" w:color="auto"/>
        <w:bottom w:val="none" w:sz="0" w:space="0" w:color="auto"/>
        <w:right w:val="none" w:sz="0" w:space="0" w:color="auto"/>
      </w:divBdr>
    </w:div>
    <w:div w:id="1855608342">
      <w:bodyDiv w:val="1"/>
      <w:marLeft w:val="0"/>
      <w:marRight w:val="0"/>
      <w:marTop w:val="0"/>
      <w:marBottom w:val="0"/>
      <w:divBdr>
        <w:top w:val="none" w:sz="0" w:space="0" w:color="auto"/>
        <w:left w:val="none" w:sz="0" w:space="0" w:color="auto"/>
        <w:bottom w:val="none" w:sz="0" w:space="0" w:color="auto"/>
        <w:right w:val="none" w:sz="0" w:space="0" w:color="auto"/>
      </w:divBdr>
    </w:div>
    <w:div w:id="1883981234">
      <w:bodyDiv w:val="1"/>
      <w:marLeft w:val="0"/>
      <w:marRight w:val="0"/>
      <w:marTop w:val="0"/>
      <w:marBottom w:val="0"/>
      <w:divBdr>
        <w:top w:val="none" w:sz="0" w:space="0" w:color="auto"/>
        <w:left w:val="none" w:sz="0" w:space="0" w:color="auto"/>
        <w:bottom w:val="none" w:sz="0" w:space="0" w:color="auto"/>
        <w:right w:val="none" w:sz="0" w:space="0" w:color="auto"/>
      </w:divBdr>
    </w:div>
    <w:div w:id="1902521108">
      <w:bodyDiv w:val="1"/>
      <w:marLeft w:val="0"/>
      <w:marRight w:val="0"/>
      <w:marTop w:val="0"/>
      <w:marBottom w:val="0"/>
      <w:divBdr>
        <w:top w:val="none" w:sz="0" w:space="0" w:color="auto"/>
        <w:left w:val="none" w:sz="0" w:space="0" w:color="auto"/>
        <w:bottom w:val="none" w:sz="0" w:space="0" w:color="auto"/>
        <w:right w:val="none" w:sz="0" w:space="0" w:color="auto"/>
      </w:divBdr>
    </w:div>
    <w:div w:id="1905528650">
      <w:bodyDiv w:val="1"/>
      <w:marLeft w:val="0"/>
      <w:marRight w:val="0"/>
      <w:marTop w:val="0"/>
      <w:marBottom w:val="0"/>
      <w:divBdr>
        <w:top w:val="none" w:sz="0" w:space="0" w:color="auto"/>
        <w:left w:val="none" w:sz="0" w:space="0" w:color="auto"/>
        <w:bottom w:val="none" w:sz="0" w:space="0" w:color="auto"/>
        <w:right w:val="none" w:sz="0" w:space="0" w:color="auto"/>
      </w:divBdr>
    </w:div>
    <w:div w:id="1920015732">
      <w:bodyDiv w:val="1"/>
      <w:marLeft w:val="0"/>
      <w:marRight w:val="0"/>
      <w:marTop w:val="0"/>
      <w:marBottom w:val="0"/>
      <w:divBdr>
        <w:top w:val="none" w:sz="0" w:space="0" w:color="auto"/>
        <w:left w:val="none" w:sz="0" w:space="0" w:color="auto"/>
        <w:bottom w:val="none" w:sz="0" w:space="0" w:color="auto"/>
        <w:right w:val="none" w:sz="0" w:space="0" w:color="auto"/>
      </w:divBdr>
    </w:div>
    <w:div w:id="1943490993">
      <w:bodyDiv w:val="1"/>
      <w:marLeft w:val="0"/>
      <w:marRight w:val="0"/>
      <w:marTop w:val="0"/>
      <w:marBottom w:val="0"/>
      <w:divBdr>
        <w:top w:val="none" w:sz="0" w:space="0" w:color="auto"/>
        <w:left w:val="none" w:sz="0" w:space="0" w:color="auto"/>
        <w:bottom w:val="none" w:sz="0" w:space="0" w:color="auto"/>
        <w:right w:val="none" w:sz="0" w:space="0" w:color="auto"/>
      </w:divBdr>
    </w:div>
    <w:div w:id="1957056657">
      <w:bodyDiv w:val="1"/>
      <w:marLeft w:val="0"/>
      <w:marRight w:val="0"/>
      <w:marTop w:val="0"/>
      <w:marBottom w:val="0"/>
      <w:divBdr>
        <w:top w:val="none" w:sz="0" w:space="0" w:color="auto"/>
        <w:left w:val="none" w:sz="0" w:space="0" w:color="auto"/>
        <w:bottom w:val="none" w:sz="0" w:space="0" w:color="auto"/>
        <w:right w:val="none" w:sz="0" w:space="0" w:color="auto"/>
      </w:divBdr>
    </w:div>
    <w:div w:id="1972513909">
      <w:bodyDiv w:val="1"/>
      <w:marLeft w:val="0"/>
      <w:marRight w:val="0"/>
      <w:marTop w:val="0"/>
      <w:marBottom w:val="0"/>
      <w:divBdr>
        <w:top w:val="none" w:sz="0" w:space="0" w:color="auto"/>
        <w:left w:val="none" w:sz="0" w:space="0" w:color="auto"/>
        <w:bottom w:val="none" w:sz="0" w:space="0" w:color="auto"/>
        <w:right w:val="none" w:sz="0" w:space="0" w:color="auto"/>
      </w:divBdr>
    </w:div>
    <w:div w:id="1985040248">
      <w:bodyDiv w:val="1"/>
      <w:marLeft w:val="0"/>
      <w:marRight w:val="0"/>
      <w:marTop w:val="0"/>
      <w:marBottom w:val="0"/>
      <w:divBdr>
        <w:top w:val="none" w:sz="0" w:space="0" w:color="auto"/>
        <w:left w:val="none" w:sz="0" w:space="0" w:color="auto"/>
        <w:bottom w:val="none" w:sz="0" w:space="0" w:color="auto"/>
        <w:right w:val="none" w:sz="0" w:space="0" w:color="auto"/>
      </w:divBdr>
    </w:div>
    <w:div w:id="1996375675">
      <w:bodyDiv w:val="1"/>
      <w:marLeft w:val="0"/>
      <w:marRight w:val="0"/>
      <w:marTop w:val="0"/>
      <w:marBottom w:val="0"/>
      <w:divBdr>
        <w:top w:val="none" w:sz="0" w:space="0" w:color="auto"/>
        <w:left w:val="none" w:sz="0" w:space="0" w:color="auto"/>
        <w:bottom w:val="none" w:sz="0" w:space="0" w:color="auto"/>
        <w:right w:val="none" w:sz="0" w:space="0" w:color="auto"/>
      </w:divBdr>
    </w:div>
    <w:div w:id="2004312974">
      <w:bodyDiv w:val="1"/>
      <w:marLeft w:val="0"/>
      <w:marRight w:val="0"/>
      <w:marTop w:val="0"/>
      <w:marBottom w:val="0"/>
      <w:divBdr>
        <w:top w:val="none" w:sz="0" w:space="0" w:color="auto"/>
        <w:left w:val="none" w:sz="0" w:space="0" w:color="auto"/>
        <w:bottom w:val="none" w:sz="0" w:space="0" w:color="auto"/>
        <w:right w:val="none" w:sz="0" w:space="0" w:color="auto"/>
      </w:divBdr>
    </w:div>
    <w:div w:id="2038893448">
      <w:bodyDiv w:val="1"/>
      <w:marLeft w:val="0"/>
      <w:marRight w:val="0"/>
      <w:marTop w:val="0"/>
      <w:marBottom w:val="0"/>
      <w:divBdr>
        <w:top w:val="none" w:sz="0" w:space="0" w:color="auto"/>
        <w:left w:val="none" w:sz="0" w:space="0" w:color="auto"/>
        <w:bottom w:val="none" w:sz="0" w:space="0" w:color="auto"/>
        <w:right w:val="none" w:sz="0" w:space="0" w:color="auto"/>
      </w:divBdr>
    </w:div>
    <w:div w:id="2058964253">
      <w:bodyDiv w:val="1"/>
      <w:marLeft w:val="0"/>
      <w:marRight w:val="0"/>
      <w:marTop w:val="0"/>
      <w:marBottom w:val="0"/>
      <w:divBdr>
        <w:top w:val="none" w:sz="0" w:space="0" w:color="auto"/>
        <w:left w:val="none" w:sz="0" w:space="0" w:color="auto"/>
        <w:bottom w:val="none" w:sz="0" w:space="0" w:color="auto"/>
        <w:right w:val="none" w:sz="0" w:space="0" w:color="auto"/>
      </w:divBdr>
    </w:div>
    <w:div w:id="2086216953">
      <w:bodyDiv w:val="1"/>
      <w:marLeft w:val="0"/>
      <w:marRight w:val="0"/>
      <w:marTop w:val="0"/>
      <w:marBottom w:val="0"/>
      <w:divBdr>
        <w:top w:val="none" w:sz="0" w:space="0" w:color="auto"/>
        <w:left w:val="none" w:sz="0" w:space="0" w:color="auto"/>
        <w:bottom w:val="none" w:sz="0" w:space="0" w:color="auto"/>
        <w:right w:val="none" w:sz="0" w:space="0" w:color="auto"/>
      </w:divBdr>
    </w:div>
    <w:div w:id="2098135989">
      <w:bodyDiv w:val="1"/>
      <w:marLeft w:val="0"/>
      <w:marRight w:val="0"/>
      <w:marTop w:val="0"/>
      <w:marBottom w:val="0"/>
      <w:divBdr>
        <w:top w:val="none" w:sz="0" w:space="0" w:color="auto"/>
        <w:left w:val="none" w:sz="0" w:space="0" w:color="auto"/>
        <w:bottom w:val="none" w:sz="0" w:space="0" w:color="auto"/>
        <w:right w:val="none" w:sz="0" w:space="0" w:color="auto"/>
      </w:divBdr>
    </w:div>
    <w:div w:id="2114860907">
      <w:bodyDiv w:val="1"/>
      <w:marLeft w:val="0"/>
      <w:marRight w:val="0"/>
      <w:marTop w:val="0"/>
      <w:marBottom w:val="0"/>
      <w:divBdr>
        <w:top w:val="none" w:sz="0" w:space="0" w:color="auto"/>
        <w:left w:val="none" w:sz="0" w:space="0" w:color="auto"/>
        <w:bottom w:val="none" w:sz="0" w:space="0" w:color="auto"/>
        <w:right w:val="none" w:sz="0" w:space="0" w:color="auto"/>
      </w:divBdr>
    </w:div>
    <w:div w:id="2122721143">
      <w:bodyDiv w:val="1"/>
      <w:marLeft w:val="0"/>
      <w:marRight w:val="0"/>
      <w:marTop w:val="0"/>
      <w:marBottom w:val="0"/>
      <w:divBdr>
        <w:top w:val="none" w:sz="0" w:space="0" w:color="auto"/>
        <w:left w:val="none" w:sz="0" w:space="0" w:color="auto"/>
        <w:bottom w:val="none" w:sz="0" w:space="0" w:color="auto"/>
        <w:right w:val="none" w:sz="0" w:space="0" w:color="auto"/>
      </w:divBdr>
    </w:div>
    <w:div w:id="21461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sngrl44@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ergipark.org.tr/tr/pub/ae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Sayfa1!$B$1</c:f>
              <c:strCache>
                <c:ptCount val="1"/>
                <c:pt idx="0">
                  <c:v>Hükümet Programları</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Sayfa1!$A$2:$A$3</c:f>
              <c:strCache>
                <c:ptCount val="2"/>
                <c:pt idx="0">
                  <c:v>ABD</c:v>
                </c:pt>
                <c:pt idx="1">
                  <c:v>OECD</c:v>
                </c:pt>
              </c:strCache>
            </c:strRef>
          </c:cat>
          <c:val>
            <c:numRef>
              <c:f>Sayfa1!$B$2:$B$3</c:f>
              <c:numCache>
                <c:formatCode>General</c:formatCode>
                <c:ptCount val="2"/>
                <c:pt idx="0">
                  <c:v>26</c:v>
                </c:pt>
                <c:pt idx="1">
                  <c:v>36</c:v>
                </c:pt>
              </c:numCache>
            </c:numRef>
          </c:val>
          <c:extLst>
            <c:ext xmlns:c16="http://schemas.microsoft.com/office/drawing/2014/chart" uri="{C3380CC4-5D6E-409C-BE32-E72D297353CC}">
              <c16:uniqueId val="{00000000-AA17-4DD8-8152-93474ABA8D37}"/>
            </c:ext>
          </c:extLst>
        </c:ser>
        <c:ser>
          <c:idx val="1"/>
          <c:order val="1"/>
          <c:tx>
            <c:strRef>
              <c:f>Sayfa1!$C$1</c:f>
              <c:strCache>
                <c:ptCount val="1"/>
                <c:pt idx="0">
                  <c:v>Zorunlu Sağlık Sigortaları</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Sayfa1!$A$2:$A$3</c:f>
              <c:strCache>
                <c:ptCount val="2"/>
                <c:pt idx="0">
                  <c:v>ABD</c:v>
                </c:pt>
                <c:pt idx="1">
                  <c:v>OECD</c:v>
                </c:pt>
              </c:strCache>
            </c:strRef>
          </c:cat>
          <c:val>
            <c:numRef>
              <c:f>Sayfa1!$C$2:$C$3</c:f>
              <c:numCache>
                <c:formatCode>General</c:formatCode>
                <c:ptCount val="2"/>
                <c:pt idx="0">
                  <c:v>58</c:v>
                </c:pt>
                <c:pt idx="1">
                  <c:v>37</c:v>
                </c:pt>
              </c:numCache>
            </c:numRef>
          </c:val>
          <c:extLst>
            <c:ext xmlns:c16="http://schemas.microsoft.com/office/drawing/2014/chart" uri="{C3380CC4-5D6E-409C-BE32-E72D297353CC}">
              <c16:uniqueId val="{00000001-AA17-4DD8-8152-93474ABA8D37}"/>
            </c:ext>
          </c:extLst>
        </c:ser>
        <c:ser>
          <c:idx val="2"/>
          <c:order val="2"/>
          <c:tx>
            <c:strRef>
              <c:f>Sayfa1!$D$1</c:f>
              <c:strCache>
                <c:ptCount val="1"/>
                <c:pt idx="0">
                  <c:v>Gönüllü Sağlık Sigortaları</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Sayfa1!$A$2:$A$3</c:f>
              <c:strCache>
                <c:ptCount val="2"/>
                <c:pt idx="0">
                  <c:v>ABD</c:v>
                </c:pt>
                <c:pt idx="1">
                  <c:v>OECD</c:v>
                </c:pt>
              </c:strCache>
            </c:strRef>
          </c:cat>
          <c:val>
            <c:numRef>
              <c:f>Sayfa1!$D$2:$D$3</c:f>
              <c:numCache>
                <c:formatCode>General</c:formatCode>
                <c:ptCount val="2"/>
                <c:pt idx="0">
                  <c:v>11</c:v>
                </c:pt>
                <c:pt idx="1">
                  <c:v>4</c:v>
                </c:pt>
              </c:numCache>
            </c:numRef>
          </c:val>
          <c:extLst>
            <c:ext xmlns:c16="http://schemas.microsoft.com/office/drawing/2014/chart" uri="{C3380CC4-5D6E-409C-BE32-E72D297353CC}">
              <c16:uniqueId val="{00000002-AA17-4DD8-8152-93474ABA8D37}"/>
            </c:ext>
          </c:extLst>
        </c:ser>
        <c:ser>
          <c:idx val="3"/>
          <c:order val="3"/>
          <c:tx>
            <c:strRef>
              <c:f>Sayfa1!$E$1</c:f>
              <c:strCache>
                <c:ptCount val="1"/>
                <c:pt idx="0">
                  <c:v>Cepten Ödemeler</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Sayfa1!$A$2:$A$3</c:f>
              <c:strCache>
                <c:ptCount val="2"/>
                <c:pt idx="0">
                  <c:v>ABD</c:v>
                </c:pt>
                <c:pt idx="1">
                  <c:v>OECD</c:v>
                </c:pt>
              </c:strCache>
            </c:strRef>
          </c:cat>
          <c:val>
            <c:numRef>
              <c:f>Sayfa1!$E$2:$E$3</c:f>
              <c:numCache>
                <c:formatCode>General</c:formatCode>
                <c:ptCount val="2"/>
                <c:pt idx="0">
                  <c:v>4</c:v>
                </c:pt>
                <c:pt idx="1">
                  <c:v>21</c:v>
                </c:pt>
              </c:numCache>
            </c:numRef>
          </c:val>
          <c:extLst>
            <c:ext xmlns:c16="http://schemas.microsoft.com/office/drawing/2014/chart" uri="{C3380CC4-5D6E-409C-BE32-E72D297353CC}">
              <c16:uniqueId val="{00000003-AA17-4DD8-8152-93474ABA8D37}"/>
            </c:ext>
          </c:extLst>
        </c:ser>
        <c:ser>
          <c:idx val="4"/>
          <c:order val="4"/>
          <c:tx>
            <c:strRef>
              <c:f>Sayfa1!$F$1</c:f>
              <c:strCache>
                <c:ptCount val="1"/>
                <c:pt idx="0">
                  <c:v>Diğer</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Sayfa1!$A$2:$A$3</c:f>
              <c:strCache>
                <c:ptCount val="2"/>
                <c:pt idx="0">
                  <c:v>ABD</c:v>
                </c:pt>
                <c:pt idx="1">
                  <c:v>OECD</c:v>
                </c:pt>
              </c:strCache>
            </c:strRef>
          </c:cat>
          <c:val>
            <c:numRef>
              <c:f>Sayfa1!$F$2:$F$3</c:f>
              <c:numCache>
                <c:formatCode>General</c:formatCode>
                <c:ptCount val="2"/>
                <c:pt idx="0">
                  <c:v>1</c:v>
                </c:pt>
              </c:numCache>
            </c:numRef>
          </c:val>
          <c:extLst>
            <c:ext xmlns:c16="http://schemas.microsoft.com/office/drawing/2014/chart" uri="{C3380CC4-5D6E-409C-BE32-E72D297353CC}">
              <c16:uniqueId val="{00000004-AA17-4DD8-8152-93474ABA8D37}"/>
            </c:ext>
          </c:extLst>
        </c:ser>
        <c:dLbls>
          <c:dLblPos val="ctr"/>
          <c:showLegendKey val="0"/>
          <c:showVal val="1"/>
          <c:showCatName val="0"/>
          <c:showSerName val="0"/>
          <c:showPercent val="0"/>
          <c:showBubbleSize val="0"/>
        </c:dLbls>
        <c:gapWidth val="150"/>
        <c:overlap val="100"/>
        <c:axId val="68668800"/>
        <c:axId val="68674688"/>
      </c:barChart>
      <c:catAx>
        <c:axId val="686688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8674688"/>
        <c:crosses val="autoZero"/>
        <c:auto val="1"/>
        <c:lblAlgn val="ctr"/>
        <c:lblOffset val="100"/>
        <c:noMultiLvlLbl val="0"/>
      </c:catAx>
      <c:valAx>
        <c:axId val="6867468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68668800"/>
        <c:crosses val="autoZero"/>
        <c:crossBetween val="between"/>
      </c:valAx>
      <c:spPr>
        <a:noFill/>
        <a:ln>
          <a:noFill/>
        </a:ln>
        <a:effectLst/>
      </c:spPr>
    </c:plotArea>
    <c:legend>
      <c:legendPos val="b"/>
      <c:layout>
        <c:manualLayout>
          <c:xMode val="edge"/>
          <c:yMode val="edge"/>
          <c:x val="0.14490060927068801"/>
          <c:y val="0.69374175789001979"/>
          <c:w val="0.79741087051618531"/>
          <c:h val="0.2568430879129799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Sayfa1!$B$1</c:f>
              <c:strCache>
                <c:ptCount val="1"/>
                <c:pt idx="0">
                  <c:v>Kamu Fonları</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c:f>
              <c:strCache>
                <c:ptCount val="1"/>
                <c:pt idx="0">
                  <c:v>Kategori 1</c:v>
                </c:pt>
              </c:strCache>
            </c:strRef>
          </c:cat>
          <c:val>
            <c:numRef>
              <c:f>Sayfa1!$B$2</c:f>
              <c:numCache>
                <c:formatCode>General</c:formatCode>
                <c:ptCount val="1"/>
                <c:pt idx="0">
                  <c:v>23</c:v>
                </c:pt>
              </c:numCache>
            </c:numRef>
          </c:val>
          <c:extLst>
            <c:ext xmlns:c16="http://schemas.microsoft.com/office/drawing/2014/chart" uri="{C3380CC4-5D6E-409C-BE32-E72D297353CC}">
              <c16:uniqueId val="{00000000-830A-4F88-8D16-79CDD4D6FB63}"/>
            </c:ext>
          </c:extLst>
        </c:ser>
        <c:ser>
          <c:idx val="1"/>
          <c:order val="1"/>
          <c:tx>
            <c:strRef>
              <c:f>Sayfa1!$C$1</c:f>
              <c:strCache>
                <c:ptCount val="1"/>
                <c:pt idx="0">
                  <c:v>Sosyal Sigorta Primleri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c:f>
              <c:strCache>
                <c:ptCount val="1"/>
                <c:pt idx="0">
                  <c:v>Kategori 1</c:v>
                </c:pt>
              </c:strCache>
            </c:strRef>
          </c:cat>
          <c:val>
            <c:numRef>
              <c:f>Sayfa1!$C$2</c:f>
              <c:numCache>
                <c:formatCode>General</c:formatCode>
                <c:ptCount val="1"/>
                <c:pt idx="0">
                  <c:v>18</c:v>
                </c:pt>
              </c:numCache>
            </c:numRef>
          </c:val>
          <c:extLst>
            <c:ext xmlns:c16="http://schemas.microsoft.com/office/drawing/2014/chart" uri="{C3380CC4-5D6E-409C-BE32-E72D297353CC}">
              <c16:uniqueId val="{00000001-830A-4F88-8D16-79CDD4D6FB63}"/>
            </c:ext>
          </c:extLst>
        </c:ser>
        <c:ser>
          <c:idx val="2"/>
          <c:order val="2"/>
          <c:tx>
            <c:strRef>
              <c:f>Sayfa1!$D$1</c:f>
              <c:strCache>
                <c:ptCount val="1"/>
                <c:pt idx="0">
                  <c:v>Zorunlu Ödemeler</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c:f>
              <c:strCache>
                <c:ptCount val="1"/>
                <c:pt idx="0">
                  <c:v>Kategori 1</c:v>
                </c:pt>
              </c:strCache>
            </c:strRef>
          </c:cat>
          <c:val>
            <c:numRef>
              <c:f>Sayfa1!$D$2</c:f>
              <c:numCache>
                <c:formatCode>General</c:formatCode>
                <c:ptCount val="1"/>
                <c:pt idx="0">
                  <c:v>59</c:v>
                </c:pt>
              </c:numCache>
            </c:numRef>
          </c:val>
          <c:extLst>
            <c:ext xmlns:c16="http://schemas.microsoft.com/office/drawing/2014/chart" uri="{C3380CC4-5D6E-409C-BE32-E72D297353CC}">
              <c16:uniqueId val="{00000002-830A-4F88-8D16-79CDD4D6FB63}"/>
            </c:ext>
          </c:extLst>
        </c:ser>
        <c:ser>
          <c:idx val="3"/>
          <c:order val="3"/>
          <c:tx>
            <c:strRef>
              <c:f>Sayfa1!$E$1</c:f>
              <c:strCache>
                <c:ptCount val="1"/>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c:f>
              <c:strCache>
                <c:ptCount val="1"/>
                <c:pt idx="0">
                  <c:v>Kategori 1</c:v>
                </c:pt>
              </c:strCache>
            </c:strRef>
          </c:cat>
          <c:val>
            <c:numRef>
              <c:f>Sayfa1!$E$2</c:f>
              <c:numCache>
                <c:formatCode>General</c:formatCode>
                <c:ptCount val="1"/>
              </c:numCache>
            </c:numRef>
          </c:val>
          <c:extLst>
            <c:ext xmlns:c16="http://schemas.microsoft.com/office/drawing/2014/chart" uri="{C3380CC4-5D6E-409C-BE32-E72D297353CC}">
              <c16:uniqueId val="{00000003-830A-4F88-8D16-79CDD4D6FB63}"/>
            </c:ext>
          </c:extLst>
        </c:ser>
        <c:dLbls>
          <c:dLblPos val="ctr"/>
          <c:showLegendKey val="0"/>
          <c:showVal val="1"/>
          <c:showCatName val="0"/>
          <c:showSerName val="0"/>
          <c:showPercent val="0"/>
          <c:showBubbleSize val="0"/>
        </c:dLbls>
        <c:gapWidth val="150"/>
        <c:overlap val="100"/>
        <c:axId val="68872448"/>
        <c:axId val="69074944"/>
      </c:barChart>
      <c:catAx>
        <c:axId val="68872448"/>
        <c:scaling>
          <c:orientation val="minMax"/>
        </c:scaling>
        <c:delete val="1"/>
        <c:axPos val="l"/>
        <c:numFmt formatCode="General" sourceLinked="1"/>
        <c:majorTickMark val="none"/>
        <c:minorTickMark val="none"/>
        <c:tickLblPos val="nextTo"/>
        <c:crossAx val="69074944"/>
        <c:crosses val="autoZero"/>
        <c:auto val="1"/>
        <c:lblAlgn val="ctr"/>
        <c:lblOffset val="100"/>
        <c:noMultiLvlLbl val="0"/>
      </c:catAx>
      <c:valAx>
        <c:axId val="6907494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68872448"/>
        <c:crosses val="autoZero"/>
        <c:crossBetween val="between"/>
      </c:valAx>
      <c:spPr>
        <a:noFill/>
        <a:ln>
          <a:noFill/>
        </a:ln>
        <a:effectLst/>
      </c:spPr>
    </c:plotArea>
    <c:legend>
      <c:legendPos val="b"/>
      <c:legendEntry>
        <c:idx val="3"/>
        <c:delete val="1"/>
      </c:legendEntry>
      <c:layout>
        <c:manualLayout>
          <c:xMode val="edge"/>
          <c:yMode val="edge"/>
          <c:x val="0.17236867130739092"/>
          <c:y val="0.71954976781748436"/>
          <c:w val="0.65526246719160108"/>
          <c:h val="0.280450232182515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Yak131</b:Tag>
    <b:SourceType>JournalArticle</b:SourceType>
    <b:Guid>{339B0884-4E82-489B-82D2-5A8ED98EC585}</b:Guid>
    <b:Title>Bir Siyasal Propaganda Aracı Olarak Sosyal Medya</b:Title>
    <b:JournalName>Akademik İncelemeler Dergisi</b:JournalName>
    <b:Year>2013</b:Year>
    <b:Pages>103-125</b:Pages>
    <b:Author>
      <b:Author>
        <b:NameList>
          <b:Person>
            <b:Last>Yakup KÖSEOĞLU</b:Last>
            <b:First>Hamza</b:First>
            <b:Middle>AL</b:Middle>
          </b:Person>
        </b:NameList>
      </b:Author>
    </b:Author>
    <b:RefOrder>3</b:RefOrder>
  </b:Source>
  <b:Source>
    <b:Tag>DrT80</b:Tag>
    <b:SourceType>JournalArticle</b:SourceType>
    <b:Guid>{A8037BFB-5FF3-45AB-B6B7-8A5D1AB9494D}</b:Guid>
    <b:Title>Propaganda teorisi ve propagandanın gelişimi</b:Title>
    <b:JournalName>Waterloo Üniversitesi</b:JournalName>
    <b:Year>1980</b:Year>
    <b:Pages>255-256</b:Pages>
    <b:Author>
      <b:Author>
        <b:NameList>
          <b:Person>
            <b:Last>Qualter</b:Last>
            <b:First>Dr.</b:First>
            <b:Middle>Terence H.</b:Middle>
          </b:Person>
        </b:NameList>
      </b:Author>
    </b:Author>
    <b:RefOrder>1</b:RefOrder>
  </b:Source>
  <b:Source>
    <b:Tag>Ays07</b:Tag>
    <b:SourceType>Book</b:SourceType>
    <b:Guid>{590A105B-DC6D-4EE6-9B73-4435CB077216}</b:Guid>
    <b:Title>Siyasal İletişim </b:Title>
    <b:Year>2007</b:Year>
    <b:Author>
      <b:Author>
        <b:NameList>
          <b:Person>
            <b:Last>AZİZ</b:Last>
            <b:First>Aysel</b:First>
          </b:Person>
        </b:NameList>
      </b:Author>
    </b:Author>
    <b:City>Ankara</b:City>
    <b:Publisher>Nobel Akademik Yayıncılık</b:Publisher>
    <b:RefOrder>2</b:RefOrder>
  </b:Source>
  <b:Source>
    <b:Tag>İsm15</b:Tag>
    <b:SourceType>InternetSite</b:SourceType>
    <b:Guid>{C038C77D-9ABF-4392-9267-47D97BFF48FD}</b:Guid>
    <b:Author>
      <b:Author>
        <b:NameList>
          <b:Person>
            <b:Last>ÖZDEMİR</b:Last>
            <b:First>İsmail</b:First>
          </b:Person>
        </b:NameList>
      </b:Author>
    </b:Author>
    <b:Title>İçişleri</b:Title>
    <b:InternetSiteTitle>https://www.icisleri.gov.tr/</b:InternetSiteTitle>
    <b:Year>2015</b:Year>
    <b:URL>https://www.icisleri.gov.tr/arem/propaganda-araci-olarak-sosyal-medya</b:URL>
    <b:RefOrder>4</b:RefOrder>
  </b:Source>
  <b:Source>
    <b:Tag>Gar101</b:Tag>
    <b:SourceType>JournalArticle</b:SourceType>
    <b:Guid>{692BA4AF-BBCA-4C12-923B-3B762A16C68C}</b:Guid>
    <b:Author>
      <b:Author>
        <b:NameList>
          <b:Person>
            <b:Last>Gary Hanson</b:Last>
            <b:First>Paul</b:First>
            <b:Middle>Michael Haridakis , Audrey Wagstaff Cunningham ,Rekha Sharma &amp; J. D. Ponder</b:Middle>
          </b:Person>
        </b:NameList>
      </b:Author>
    </b:Author>
    <b:Title>The 2008 Presidential Campaign: Political Cynicism in the Age of Facebook, MySpace, and YouTube</b:Title>
    <b:JournalName>Mass Communication and Society</b:JournalName>
    <b:Year>2010</b:Year>
    <b:Pages>584-607</b:Pages>
    <b:RefOrder>5</b:RefOrder>
  </b:Source>
  <b:Source>
    <b:Tag>Ufu17</b:Tag>
    <b:SourceType>JournalArticle</b:SourceType>
    <b:Guid>{040EFD47-161D-4D43-AE90-F3D3DF328606}</b:Guid>
    <b:Author>
      <b:Author>
        <b:NameList>
          <b:Person>
            <b:Last>Özkan</b:Last>
            <b:First>Ufuk</b:First>
            <b:Middle>Bingöl ve Yılmaz</b:Middle>
          </b:Person>
        </b:NameList>
      </b:Author>
    </b:Author>
    <b:Title>T.C. Cumhurbaşkanı İle Siyasi Parti Liderlerinin Resmi Twitter Hesaplarının Cumhurbaşkanlığı Hükümet Sistemi Referandumu Kapsamında Nitel Analizi</b:Title>
    <b:JournalName>Uluslararası Ekonomik Araştırmaları Dergisi</b:JournalName>
    <b:Year>2017</b:Year>
    <b:RefOrder>7</b:RefOrder>
  </b:Source>
  <b:Source xmlns:b="http://schemas.openxmlformats.org/officeDocument/2006/bibliography">
    <b:Tag>Çağ14</b:Tag>
    <b:SourceType>InternetSite</b:SourceType>
    <b:Guid>{6558748A-6FB9-41B1-83FC-4C1960349635}</b:Guid>
    <b:Title>BBC</b:Title>
    <b:Year>2014</b:Year>
    <b:Author>
      <b:Author>
        <b:NameList>
          <b:Person>
            <b:Last>Kasapoğlu</b:Last>
            <b:First>Çağıl</b:First>
          </b:Person>
        </b:NameList>
      </b:Author>
    </b:Author>
    <b:InternetSiteTitle>bbc.com</b:InternetSiteTitle>
    <b:Month>08</b:Month>
    <b:Day>07</b:Day>
    <b:URL>https://www.bbc.com/turkce/haberler/2014/08/140806_sosyalmedya_secim</b:URL>
    <b:RefOrder>9</b:RefOrder>
  </b:Source>
  <b:Source>
    <b:Tag>TRT19</b:Tag>
    <b:SourceType>InternetSite</b:SourceType>
    <b:Guid>{BFF03005-4D1C-4FEE-8066-BB217E296F85}</b:Guid>
    <b:Title>TRT HABER</b:Title>
    <b:InternetSiteTitle>trthaber.com </b:InternetSiteTitle>
    <b:Year>2019</b:Year>
    <b:Month>12</b:Month>
    <b:Day>06</b:Day>
    <b:URL>https://www.trthaber.com/haber/turkiye/belediyelerin-sosyal-medyada-kar-ve-soguk-hava-atismasi-444927.html</b:URL>
    <b:RefOrder>10</b:RefOrder>
  </b:Source>
  <b:Source>
    <b:Tag>Hik19</b:Tag>
    <b:SourceType>JournalArticle</b:SourceType>
    <b:Guid>{4D507EAC-BF9D-45A9-9645-502E66D4616E}</b:Guid>
    <b:Author>
      <b:Author>
        <b:NameList>
          <b:Person>
            <b:Last>Sütçü</b:Last>
            <b:First>Hikmet</b:First>
            <b:Middle>Tosyalı ve Cem Sefa</b:Middle>
          </b:Person>
        </b:NameList>
      </b:Author>
    </b:Author>
    <b:Title>Türkiye'de Soyal Medya Üzerinden Propaganda Yapmak: 2018 Cumhurbaşkanı Seçimi Örneği</b:Title>
    <b:JournalName>Marmara Üniversitesi Öneri Dergisi</b:JournalName>
    <b:Year>2019</b:Year>
    <b:Pages>61-89</b:Pages>
    <b:RefOrder>8</b:RefOrder>
  </b:Source>
  <b:Source>
    <b:Tag>Mev15</b:Tag>
    <b:SourceType>JournalArticle</b:SourceType>
    <b:Guid>{32F3D294-A03E-458A-B9EF-763F92AB78D7}</b:Guid>
    <b:Title>Seçim Kampanyalarında Sosyal Medya Kullanımı: Facebook ve 2014 Cumhubaşkanlığı Seçimleri</b:Title>
    <b:Year>2015</b:Year>
    <b:Author>
      <b:Author>
        <b:NameList>
          <b:Person>
            <b:Last>Akyol</b:Last>
            <b:First>Mevlüt</b:First>
          </b:Person>
        </b:NameList>
      </b:Author>
    </b:Author>
    <b:JournalName>Elektronik  Sosyal Bilimler Dergisi</b:JournalName>
    <b:Pages>98-114</b:Pages>
    <b:RefOrder>6</b:RefOrder>
  </b:Source>
  <b:Source>
    <b:Tag>Hal09</b:Tag>
    <b:SourceType>JournalArticle</b:SourceType>
    <b:Guid>{6CCFC1DA-9137-4CF7-B953-614C0971DF9C}</b:Guid>
    <b:Title>Bölgesel Siyasi Pazarlama ve Bölgesel Kalkınma: 2009 Kaman Yerek Seçimleri Araştırma Örneği </b:Title>
    <b:Year>2009</b:Year>
    <b:Author>
      <b:Author>
        <b:NameList>
          <b:Person>
            <b:Last>Halil Özcan ÖZDEMİR</b:Last>
            <b:First>Latif</b:First>
            <b:Middle>Onur UĞUR</b:Middle>
          </b:Person>
        </b:NameList>
      </b:Author>
    </b:Author>
    <b:JournalName>E-Journal of New World Sciences Academy </b:JournalName>
    <b:Pages>257-276</b:Pages>
    <b:RefOrder>11</b:RefOrder>
  </b:Source>
  <b:Source>
    <b:Tag>Wor00</b:Tag>
    <b:SourceType>Report</b:SourceType>
    <b:Guid>{9564F341-3BD5-4B56-BE33-3355BBF230CB}</b:Guid>
    <b:Title>The World Health Report 2000 - Health Systems: Improving Performance</b:Title>
    <b:Year>2000</b:Year>
    <b:City>Geneva</b:City>
    <b:Author>
      <b:Author>
        <b:Corporate>World Health Organisation</b:Corporate>
      </b:Author>
    </b:Author>
    <b:RefOrder>2</b:RefOrder>
  </b:Source>
  <b:Source>
    <b:Tag>Uğu05</b:Tag>
    <b:SourceType>JournalArticle</b:SourceType>
    <b:Guid>{2F8351F3-8E2C-4798-BE3E-FCE5006DE301}</b:Guid>
    <b:Title>Sağlık Sistemleri Performans Ölçümü,Önemi ve Dünya Sağlık Örgütü Yaklaşımı</b:Title>
    <b:JournalName>Hacettepe Sağlık İdaresi Dergisi</b:JournalName>
    <b:Year>2005</b:Year>
    <b:Author>
      <b:Author>
        <b:NameList>
          <b:Person>
            <b:Last>Uğurluoğlu</b:Last>
            <b:First>Özgür</b:First>
          </b:Person>
          <b:Person>
            <b:Last>Çelik</b:Last>
            <b:First>Yusuf</b:First>
          </b:Person>
        </b:NameList>
      </b:Author>
    </b:Author>
    <b:Volume>8</b:Volume>
    <b:Issue>1</b:Issue>
    <b:RefOrder>3</b:RefOrder>
  </b:Source>
  <b:Source>
    <b:Tag>Enc20</b:Tag>
    <b:SourceType>InternetSite</b:SourceType>
    <b:Guid>{E11D5DCC-63F6-4F18-B481-8CB209884276}</b:Guid>
    <b:InternetSiteTitle>Encyclopaedia Britannica</b:InternetSiteTitle>
    <b:Year>2020</b:Year>
    <b:URL>https://www.britannica.com/place/United-States</b:URL>
    <b:YearAccessed>2020</b:YearAccessed>
    <b:MonthAccessed>Şubat</b:MonthAccessed>
    <b:DayAccessed>16</b:DayAccessed>
    <b:RefOrder>5</b:RefOrder>
  </b:Source>
  <b:Source>
    <b:Tag>The20</b:Tag>
    <b:SourceType>InternetSite</b:SourceType>
    <b:Guid>{D41A86C2-9614-4F7E-A033-B10A4F1EE36B}</b:Guid>
    <b:Title>The World Bank</b:Title>
    <b:URL>https://data.worldbank.org/indicator/?tab=all</b:URL>
    <b:YearAccessed>2020</b:YearAccessed>
    <b:MonthAccessed>Şubat</b:MonthAccessed>
    <b:DayAccessed>16</b:DayAccessed>
    <b:Year>2019</b:Year>
    <b:RefOrder>4</b:RefOrder>
  </b:Source>
  <b:Source>
    <b:Tag>Blu20</b:Tag>
    <b:SourceType>InternetSite</b:SourceType>
    <b:Guid>{5925F94C-BB92-4691-B5AE-AF8880DCE867}</b:Guid>
    <b:Title>Blue Cross Blue Shield</b:Title>
    <b:Year>2020</b:Year>
    <b:URL>https://www.bcbs.com/about-us/the-blue-cross-blue-shield-system</b:URL>
    <b:YearAccessed>2020</b:YearAccessed>
    <b:MonthAccessed>Şubat</b:MonthAccessed>
    <b:DayAccessed>18</b:DayAccessed>
    <b:RefOrder>6</b:RefOrder>
  </b:Source>
  <b:Source>
    <b:Tag>Sar06</b:Tag>
    <b:SourceType>Book</b:SourceType>
    <b:Guid>{92A6A43E-F035-4CC6-9406-15BD645296E5}</b:Guid>
    <b:Title>Amerika Birleşik Devletleri Sağlık Sistemi</b:Title>
    <b:Year>2006</b:Year>
    <b:Publisher>Hacettepe Üniversitesi Yayınları</b:Publisher>
    <b:City>Ankara</b:City>
    <b:Author>
      <b:Author>
        <b:NameList>
          <b:Person>
            <b:Last>Sargutan</b:Last>
            <b:First>Erdal</b:First>
          </b:Person>
        </b:NameList>
      </b:Author>
    </b:Author>
    <b:RefOrder>1</b:RefOrder>
  </b:Source>
  <b:Source>
    <b:Tag>Hea20</b:Tag>
    <b:SourceType>InternetSite</b:SourceType>
    <b:Guid>{06A59B05-E785-4ED1-BE3A-26E9394449D9}</b:Guid>
    <b:Title>Health Care</b:Title>
    <b:Year>2020</b:Year>
    <b:URL>https://www.healthcare.gov/</b:URL>
    <b:YearAccessed>2020</b:YearAccessed>
    <b:MonthAccessed>Şubat</b:MonthAccessed>
    <b:DayAccessed>22</b:DayAccessed>
    <b:RefOrder>7</b:RefOrder>
  </b:Source>
  <b:Source>
    <b:Tag>AnO19</b:Tag>
    <b:SourceType>InternetSite</b:SourceType>
    <b:Guid>{63492DB7-9862-4444-A3CE-19C0F8651A97}</b:Guid>
    <b:InternetSiteTitle>An Ofical Website of the United States Goverment</b:InternetSiteTitle>
    <b:Year>2019</b:Year>
    <b:URL>https://www.usa.gov/history#item-37632</b:URL>
    <b:YearAccessed>2020</b:YearAccessed>
    <b:MonthAccessed>Şubat</b:MonthAccessed>
    <b:DayAccessed>17</b:DayAccessed>
    <b:RefOrder>8</b:RefOrder>
  </b:Source>
  <b:Source>
    <b:Tag>Enc19</b:Tag>
    <b:SourceType>InternetSite</b:SourceType>
    <b:Guid>{BD81E2CE-FF5D-41EC-909A-54D6D6C74AC7}</b:Guid>
    <b:Title>Encyclopaedia Britannica</b:Title>
    <b:Year>2019</b:Year>
    <b:YearAccessed>2020</b:YearAccessed>
    <b:MonthAccessed>Şubat</b:MonthAccessed>
    <b:DayAccessed>17</b:DayAccessed>
    <b:URL>https://www.britannica.com/place/United-States/Presidents-of-the-United-States</b:URL>
    <b:RefOrder>9</b:RefOrder>
  </b:Source>
  <b:Source>
    <b:Tag>OEC19</b:Tag>
    <b:SourceType>DocumentFromInternetSite</b:SourceType>
    <b:Guid>{F68F3497-8DEF-44F8-ACDA-1055894F6EF8}</b:Guid>
    <b:InternetSiteTitle>OECD Reports</b:InternetSiteTitle>
    <b:Year>2019</b:Year>
    <b:URL>https://www.oecd.org/unitedstates/health-at-a-glance-united-states-EN.pdf</b:URL>
    <b:YearAccessed>2020</b:YearAccessed>
    <b:MonthAccessed>Şubat</b:MonthAccessed>
    <b:DayAccessed>17</b:DayAccessed>
    <b:RefOrder>10</b:RefOrder>
  </b:Source>
  <b:Source>
    <b:Tag>Sem19</b:Tag>
    <b:SourceType>Report</b:SourceType>
    <b:Guid>{5599B845-F756-4449-A4D8-1C878203B1F0}</b:Guid>
    <b:Title>Income and Poverty in the United States:2018</b:Title>
    <b:Year>2019</b:Year>
    <b:Author>
      <b:Author>
        <b:NameList>
          <b:Person>
            <b:Last>Semega</b:Last>
            <b:First>Jessica</b:First>
          </b:Person>
          <b:Person>
            <b:Last>Kollar</b:Last>
            <b:First>Melissa</b:First>
          </b:Person>
          <b:Person>
            <b:Last>Creamer</b:Last>
            <b:First>John</b:First>
          </b:Person>
          <b:Person>
            <b:Last>Mohanty</b:Last>
            <b:First>Abinash</b:First>
          </b:Person>
        </b:NameList>
      </b:Author>
    </b:Author>
    <b:Institution>United States Census Bureau</b:Institution>
    <b:RefOrder>11</b:RefOrder>
  </b:Source>
  <b:Source>
    <b:Tag>OEC191</b:Tag>
    <b:SourceType>Report</b:SourceType>
    <b:Guid>{FA83B505-045C-4B7B-90B2-565651FB0E3D}</b:Guid>
    <b:Author>
      <b:Author>
        <b:NameList>
          <b:Person>
            <b:Last>OECD</b:Last>
          </b:Person>
        </b:NameList>
      </b:Author>
    </b:Author>
    <b:Title>Health at a Glance: OECD Indicators</b:Title>
    <b:Year>2019</b:Year>
    <b:RefOrder>12</b:RefOrder>
  </b:Source>
  <b:Source>
    <b:Tag>The201</b:Tag>
    <b:SourceType>InternetSite</b:SourceType>
    <b:Guid>{11C57AE6-813D-4B19-AD6F-89234A2F1691}</b:Guid>
    <b:Year>2020</b:Year>
    <b:URL>https://collegeofphysicians.org/about-us</b:URL>
    <b:YearAccessed>2020</b:YearAccessed>
    <b:MonthAccessed>Şubat</b:MonthAccessed>
    <b:DayAccessed>18</b:DayAccessed>
    <b:Title>The College of Physicians of Philadelphia</b:Title>
    <b:RefOrder>13</b:RefOrder>
  </b:Source>
  <b:Source>
    <b:Tag>USN11</b:Tag>
    <b:SourceType>InternetSite</b:SourceType>
    <b:Guid>{124B6F42-BDF6-4496-8A0D-FC1805F7296E}</b:Guid>
    <b:Title>US National Library of Medicine</b:Title>
    <b:Year>2011</b:Year>
    <b:URL>https://www.ncbi.nlm.nih.gov/pmc/articles/PMC3178858/</b:URL>
    <b:YearAccessed>2020</b:YearAccessed>
    <b:MonthAccessed>Şubat</b:MonthAccessed>
    <b:DayAccessed>18</b:DayAccessed>
    <b:RefOrder>14</b:RefOrder>
  </b:Source>
  <b:Source>
    <b:Tag>Hea18</b:Tag>
    <b:SourceType>Report</b:SourceType>
    <b:Guid>{5265B4F7-8D6D-48E4-870E-1556B459168E}</b:Guid>
    <b:Title>Health, United States</b:Title>
    <b:Year>2018</b:Year>
    <b:Institution>U.S. Department of Health and Human Services</b:Institution>
    <b:RefOrder>15</b:RefOrder>
  </b:Source>
  <b:Source>
    <b:Tag>USD20</b:Tag>
    <b:SourceType>InternetSite</b:SourceType>
    <b:Guid>{1D31C29A-F6BF-4699-8D38-06D82D469F01}</b:Guid>
    <b:Title>U.S. Department of Health &amp; Human Services</b:Title>
    <b:Year>2020</b:Year>
    <b:URL>https://www.hhs.gov/about/index.html</b:URL>
    <b:YearAccessed>2020</b:YearAccessed>
    <b:MonthAccessed>Şubat</b:MonthAccessed>
    <b:DayAccessed>20</b:DayAccessed>
    <b:RefOrder>16</b:RefOrder>
  </b:Source>
  <b:Source>
    <b:Tag>USD201</b:Tag>
    <b:SourceType>InternetSite</b:SourceType>
    <b:Guid>{B9B8260C-D204-4567-98CA-DCE4437F262B}</b:Guid>
    <b:Title>U.S. Department of Health &amp; Human Services</b:Title>
    <b:Year>2020</b:Year>
    <b:URL>https://www.hhs.gov/about/budget/fy2020/index.html</b:URL>
    <b:YearAccessed>2020</b:YearAccessed>
    <b:MonthAccessed>Şubat</b:MonthAccessed>
    <b:DayAccessed>20</b:DayAccessed>
    <b:RefOrder>17</b:RefOrder>
  </b:Source>
  <b:Source>
    <b:Tag>Uni20</b:Tag>
    <b:SourceType>DocumentFromInternetSite</b:SourceType>
    <b:Guid>{0938060F-3CF8-4448-B6AD-6359AD57D6E5}</b:Guid>
    <b:Title>United States Census Bureau</b:Title>
    <b:Year>2020</b:Year>
    <b:URL>https://www2.census.gov/programs-surveys/cps/techdocs/cpsmar19.pdf</b:URL>
    <b:YearAccessed>2020</b:YearAccessed>
    <b:MonthAccessed>Şubat</b:MonthAccessed>
    <b:DayAccessed>20</b:DayAccessed>
    <b:RefOrder>18</b:RefOrder>
  </b:Source>
  <b:Source>
    <b:Tag>USD202</b:Tag>
    <b:SourceType>InternetSite</b:SourceType>
    <b:Guid>{B1CC52F1-E139-42C4-8F49-3697E750D308}</b:Guid>
    <b:Title>U.S. Department of Health &amp; Human Services</b:Title>
    <b:Year>2020</b:Year>
    <b:URL>https://www.hhs.gov/about/agencies/orgchart/index.html</b:URL>
    <b:YearAccessed>2020</b:YearAccessed>
    <b:MonthAccessed>Şubat</b:MonthAccessed>
    <b:DayAccessed>20</b:DayAccessed>
    <b:RefOrder>19</b:RefOrder>
  </b:Source>
  <b:Source>
    <b:Tag>USD203</b:Tag>
    <b:SourceType>InternetSite</b:SourceType>
    <b:Guid>{DDA79412-A21C-4E1B-8BA7-CF6D50A1D837}</b:Guid>
    <b:Title>U.S. Department of Health &amp; Human Services </b:Title>
    <b:Year>2020</b:Year>
    <b:URL>https://www.hhs.gov/about/agencies/hhs-agencies-and-offices/index.html</b:URL>
    <b:YearAccessed>2020</b:YearAccessed>
    <b:MonthAccessed>Şubat</b:MonthAccessed>
    <b:DayAccessed>20</b:DayAccessed>
    <b:RefOrder>20</b:RefOrder>
  </b:Source>
  <b:Source>
    <b:Tag>Eli17</b:Tag>
    <b:SourceType>DocumentFromInternetSite</b:SourceType>
    <b:Guid>{8F22A4A0-A257-4478-BAA3-8C8912F512FA}</b:Guid>
    <b:Title>International Profiles of Health Care Systems</b:Title>
    <b:Year>2017</b:Year>
    <b:URL>https://www.commonwealthfund.org/sites/default/files/documents/___media_files_publications_fund_report_2017_may_mossialos_intl_profiles_v5.pdf</b:URL>
    <b:Author>
      <b:Author>
        <b:NameList>
          <b:Person>
            <b:Last>Mossialos</b:Last>
            <b:First>Elias</b:First>
          </b:Person>
          <b:Person>
            <b:Last>Djordjevic</b:Last>
            <b:First>Ana</b:First>
          </b:Person>
          <b:Person>
            <b:Last>Osborn</b:Last>
            <b:First>Robin</b:First>
          </b:Person>
          <b:Person>
            <b:Last>Sarnak</b:Last>
            <b:First>Dana</b:First>
          </b:Person>
        </b:NameList>
      </b:Author>
    </b:Author>
    <b:YearAccessed>2020</b:YearAccessed>
    <b:MonthAccessed>Şubat</b:MonthAccessed>
    <b:DayAccessed>21</b:DayAccessed>
    <b:RefOrder>21</b:RefOrder>
  </b:Source>
  <b:Source>
    <b:Tag>The202</b:Tag>
    <b:SourceType>InternetSite</b:SourceType>
    <b:Guid>{69C5908E-0AE5-41CA-8D3D-A79158780FC7}</b:Guid>
    <b:Title>Medicare</b:Title>
    <b:Year>2020</b:Year>
    <b:URL>https://www.medicare.gov/</b:URL>
    <b:YearAccessed>2020</b:YearAccessed>
    <b:MonthAccessed>Şubat</b:MonthAccessed>
    <b:DayAccessed>21</b:DayAccessed>
    <b:InternetSiteTitle>The Offical U.S. Government Site for Medicare</b:InternetSiteTitle>
    <b:RefOrder>22</b:RefOrder>
  </b:Source>
  <b:Source>
    <b:Tag>Med20</b:Tag>
    <b:SourceType>InternetSite</b:SourceType>
    <b:Guid>{3B52F95F-204D-4CF4-A676-3ED0A5DCDF3D}</b:Guid>
    <b:Title>Medicaid</b:Title>
    <b:Year>2020</b:Year>
    <b:URL>https://www.medicaid.gov/</b:URL>
    <b:YearAccessed>2020</b:YearAccessed>
    <b:MonthAccessed>Şubat</b:MonthAccessed>
    <b:DayAccessed>21</b:DayAccessed>
    <b:RefOrder>23</b:RefOrder>
  </b:Source>
  <b:Source>
    <b:Tag>USD19</b:Tag>
    <b:SourceType>InternetSite</b:SourceType>
    <b:Guid>{B45CA542-48A1-44CA-B9BD-3C5AF39767E4}</b:Guid>
    <b:Title>U.S Department of Veterans Affairs</b:Title>
    <b:Year>2019</b:Year>
    <b:URL>https://www.va.gov/</b:URL>
    <b:YearAccessed>2020</b:YearAccessed>
    <b:MonthAccessed>Şubat</b:MonthAccessed>
    <b:DayAccessed>22</b:DayAccessed>
    <b:RefOrder>24</b:RefOrder>
  </b:Source>
  <b:Source>
    <b:Tag>Uni201</b:Tag>
    <b:SourceType>InternetSite</b:SourceType>
    <b:Guid>{46E978FD-CA68-407A-8B66-C8026402EED1}</b:Guid>
    <b:Title>United States Census Bureau</b:Title>
    <b:Year>2020</b:Year>
    <b:URL>https://www.census.gov/quickfacts/fact/table/US/HEA775218#HEA775218</b:URL>
    <b:YearAccessed>2020</b:YearAccessed>
    <b:MonthAccessed>Şubat</b:MonthAccessed>
    <b:DayAccessed>22</b:DayAccessed>
    <b:RefOrder>25</b:RefOrder>
  </b:Source>
  <b:Source>
    <b:Tag>OEC20</b:Tag>
    <b:SourceType>InternetSite</b:SourceType>
    <b:Guid>{4794CC7F-E507-4276-AD70-51FF355F4BBD}</b:Guid>
    <b:Title>OECD Statistics</b:Title>
    <b:Year>2020</b:Year>
    <b:URL>https://stats.oecd.org/#</b:URL>
    <b:YearAccessed>2020</b:YearAccessed>
    <b:MonthAccessed>Şubat</b:MonthAccessed>
    <b:DayAccessed>22</b:DayAccessed>
    <b:RefOrder>26</b:RefOrder>
  </b:Source>
  <b:Source>
    <b:Tag>WHO20</b:Tag>
    <b:SourceType>InternetSite</b:SourceType>
    <b:Guid>{9ED32AD7-AFB5-42E4-A470-B47465674BBD}</b:Guid>
    <b:Title>WHO</b:Title>
    <b:Year>2020</b:Year>
    <b:URL>https://www.who.int/data/gho</b:URL>
    <b:YearAccessed>2020</b:YearAccessed>
    <b:MonthAccessed>Şubat</b:MonthAccessed>
    <b:DayAccessed>22</b:DayAccessed>
    <b:RefOrder>27</b:RefOrder>
  </b:Source>
  <b:Source>
    <b:Tag>Sar05</b:Tag>
    <b:SourceType>JournalArticle</b:SourceType>
    <b:Guid>{40F4B12B-53A0-49E4-9E82-2B9E4C003A07}</b:Guid>
    <b:Title>Sağlık Sektörü ve Sağlık Sistemlerinin Yapısı</b:Title>
    <b:BookTitle>Türk Sağlık Sektörünün Yapısı</b:BookTitle>
    <b:Year>2005</b:Year>
    <b:Author>
      <b:Author>
        <b:NameList>
          <b:Person>
            <b:Last>Sargutan</b:Last>
            <b:First>Erdal</b:First>
          </b:Person>
        </b:NameList>
      </b:Author>
      <b:BookAuthor>
        <b:NameList>
          <b:Person>
            <b:Last>Sargutan</b:Last>
            <b:First>Erdal</b:First>
          </b:Person>
        </b:NameList>
      </b:BookAuthor>
    </b:Author>
    <b:JournalName>Hacettepe Sağlık İdaresi Dergisi</b:JournalName>
    <b:Volume>8</b:Volume>
    <b:Issue>3</b:Issue>
    <b:RefOrder>28</b:RefOrder>
  </b:Source>
</b:Sources>
</file>

<file path=customXml/itemProps1.xml><?xml version="1.0" encoding="utf-8"?>
<ds:datastoreItem xmlns:ds="http://schemas.openxmlformats.org/officeDocument/2006/customXml" ds:itemID="{0BA79453-5521-4045-A709-F716EF4D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5658</Words>
  <Characters>32254</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doğan</dc:creator>
  <cp:keywords/>
  <dc:description/>
  <cp:lastModifiedBy>ronaldinho424</cp:lastModifiedBy>
  <cp:revision>23</cp:revision>
  <cp:lastPrinted>2020-06-16T19:47:00Z</cp:lastPrinted>
  <dcterms:created xsi:type="dcterms:W3CDTF">2020-06-12T19:21:00Z</dcterms:created>
  <dcterms:modified xsi:type="dcterms:W3CDTF">2020-06-30T16:03:00Z</dcterms:modified>
</cp:coreProperties>
</file>