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C22" w:rsidRPr="00DB0C22" w:rsidRDefault="00DB0C22" w:rsidP="00DB0C22">
      <w:pPr>
        <w:pStyle w:val="Makalebal"/>
        <w:bidi/>
        <w:rPr>
          <w:b/>
          <w:bCs/>
          <w:rtl/>
          <w:lang w:val="ar-SA"/>
        </w:rPr>
      </w:pPr>
      <w:r w:rsidRPr="00DB0C22">
        <w:rPr>
          <w:b/>
          <w:bCs/>
          <w:rtl/>
          <w:lang w:val="ar-SA"/>
        </w:rPr>
        <w:t>رسالة في أسرار الفاتحة لملا خسرو دراسة وتحقيق</w:t>
      </w:r>
    </w:p>
    <w:p w:rsidR="008353A9" w:rsidRPr="00D64C2B" w:rsidRDefault="00DB0C22" w:rsidP="00E70DE1">
      <w:pPr>
        <w:pStyle w:val="Yazarad"/>
      </w:pPr>
      <w:r>
        <w:t>Ceyda GÜRMAN</w:t>
      </w:r>
      <w:r w:rsidR="00483031">
        <w:rPr>
          <w:rStyle w:val="DipnotBavurusu"/>
        </w:rPr>
        <w:footnoteReference w:customMarkFollows="1" w:id="1"/>
        <w:t>*</w:t>
      </w:r>
    </w:p>
    <w:p w:rsidR="00DB0C22" w:rsidRPr="00DB0C22" w:rsidRDefault="00DB0C22" w:rsidP="00DB0C22">
      <w:pPr>
        <w:pStyle w:val="GvdeMetni"/>
        <w:bidi/>
        <w:rPr>
          <w:b/>
          <w:bCs/>
          <w:sz w:val="22"/>
          <w:rtl/>
          <w:lang w:val="ar-SA"/>
        </w:rPr>
      </w:pPr>
      <w:r w:rsidRPr="00DB0C22">
        <w:rPr>
          <w:b/>
          <w:bCs/>
          <w:sz w:val="22"/>
          <w:rtl/>
          <w:lang w:val="en-US"/>
        </w:rPr>
        <w:t>ملخص البحث</w:t>
      </w:r>
      <w:r w:rsidRPr="00DB0C22">
        <w:rPr>
          <w:rFonts w:hint="cs"/>
          <w:b/>
          <w:bCs/>
          <w:sz w:val="22"/>
          <w:rtl/>
          <w:lang w:val="en-US"/>
        </w:rPr>
        <w:t xml:space="preserve">: </w:t>
      </w:r>
      <w:r w:rsidRPr="00DB0C22">
        <w:rPr>
          <w:b/>
          <w:bCs/>
          <w:sz w:val="22"/>
          <w:rtl/>
          <w:lang w:val="ar-SA"/>
        </w:rPr>
        <w:t>ملا خسرو</w:t>
      </w:r>
      <w:r w:rsidRPr="00DB0C22">
        <w:rPr>
          <w:rFonts w:hint="cs"/>
          <w:b/>
          <w:bCs/>
          <w:sz w:val="22"/>
          <w:rtl/>
          <w:lang w:val="ar-SA"/>
        </w:rPr>
        <w:t xml:space="preserve"> (</w:t>
      </w:r>
      <w:r w:rsidRPr="00DB0C22">
        <w:rPr>
          <w:b/>
          <w:bCs/>
          <w:sz w:val="22"/>
          <w:rtl/>
          <w:lang w:val="ar-SA"/>
        </w:rPr>
        <w:t>885</w:t>
      </w:r>
      <w:r w:rsidRPr="00DB0C22">
        <w:rPr>
          <w:rFonts w:hint="cs"/>
          <w:b/>
          <w:bCs/>
          <w:sz w:val="22"/>
          <w:rtl/>
          <w:lang w:val="ar-SA"/>
        </w:rPr>
        <w:t>هـ/1480م)، عالم</w:t>
      </w:r>
      <w:r w:rsidRPr="00DB0C22">
        <w:rPr>
          <w:b/>
          <w:bCs/>
          <w:sz w:val="22"/>
          <w:rtl/>
          <w:lang w:val="ar-SA"/>
        </w:rPr>
        <w:t xml:space="preserve"> </w:t>
      </w:r>
      <w:r w:rsidRPr="00DB0C22">
        <w:rPr>
          <w:rFonts w:hint="cs"/>
          <w:b/>
          <w:bCs/>
          <w:sz w:val="22"/>
          <w:rtl/>
          <w:lang w:val="ar-SA"/>
        </w:rPr>
        <w:t xml:space="preserve">كبير </w:t>
      </w:r>
      <w:r w:rsidRPr="00DB0C22">
        <w:rPr>
          <w:b/>
          <w:bCs/>
          <w:sz w:val="22"/>
          <w:rtl/>
          <w:lang w:val="ar-SA"/>
        </w:rPr>
        <w:t xml:space="preserve">قام </w:t>
      </w:r>
      <w:r w:rsidRPr="00DB0C22">
        <w:rPr>
          <w:rFonts w:hint="cs"/>
          <w:b/>
          <w:bCs/>
          <w:sz w:val="22"/>
          <w:rtl/>
          <w:lang w:val="ar-SA"/>
        </w:rPr>
        <w:t>ب</w:t>
      </w:r>
      <w:r w:rsidRPr="00DB0C22">
        <w:rPr>
          <w:b/>
          <w:bCs/>
          <w:sz w:val="22"/>
          <w:rtl/>
          <w:lang w:val="ar-SA"/>
        </w:rPr>
        <w:t xml:space="preserve">وظيفة </w:t>
      </w:r>
      <w:r w:rsidRPr="00DB0C22">
        <w:rPr>
          <w:rFonts w:hint="cs"/>
          <w:b/>
          <w:bCs/>
          <w:sz w:val="22"/>
          <w:rtl/>
          <w:lang w:val="ar-SA"/>
        </w:rPr>
        <w:t>مدرّس</w:t>
      </w:r>
      <w:r w:rsidRPr="00DB0C22">
        <w:rPr>
          <w:b/>
          <w:bCs/>
          <w:sz w:val="22"/>
          <w:rtl/>
          <w:lang w:val="ar-SA"/>
        </w:rPr>
        <w:t xml:space="preserve"> والقاضي </w:t>
      </w:r>
      <w:r w:rsidRPr="00DB0C22">
        <w:rPr>
          <w:rFonts w:hint="cs"/>
          <w:b/>
          <w:bCs/>
          <w:sz w:val="22"/>
          <w:rtl/>
          <w:lang w:val="ar-SA"/>
        </w:rPr>
        <w:t xml:space="preserve">والمفتي </w:t>
      </w:r>
      <w:r w:rsidRPr="00DB0C22">
        <w:rPr>
          <w:b/>
          <w:bCs/>
          <w:sz w:val="22"/>
          <w:rtl/>
          <w:lang w:val="ar-SA"/>
        </w:rPr>
        <w:t xml:space="preserve">في الدولة العثمانية </w:t>
      </w:r>
      <w:r w:rsidRPr="00DB0C22">
        <w:rPr>
          <w:rFonts w:hint="cs"/>
          <w:b/>
          <w:bCs/>
          <w:sz w:val="22"/>
          <w:rtl/>
          <w:lang w:val="ar-SA"/>
        </w:rPr>
        <w:t>في عهد</w:t>
      </w:r>
      <w:r w:rsidRPr="00DB0C22">
        <w:rPr>
          <w:b/>
          <w:bCs/>
          <w:sz w:val="22"/>
          <w:rtl/>
          <w:lang w:val="ar-SA"/>
        </w:rPr>
        <w:t xml:space="preserve"> السلطان مراد الثاني خان والسلطان الفاتح محمد خان</w:t>
      </w:r>
      <w:r w:rsidRPr="00DB0C22">
        <w:rPr>
          <w:rFonts w:hint="cs"/>
          <w:b/>
          <w:bCs/>
          <w:sz w:val="22"/>
          <w:rtl/>
          <w:lang w:val="ar-SA"/>
        </w:rPr>
        <w:t>.</w:t>
      </w:r>
      <w:r w:rsidRPr="00DB0C22">
        <w:rPr>
          <w:b/>
          <w:bCs/>
          <w:sz w:val="22"/>
          <w:rtl/>
          <w:lang w:val="ar-SA"/>
        </w:rPr>
        <w:t xml:space="preserve"> واكتسب سمعة كبيرة وكان يحظى باحترام إلى حد كبير بسب حياته العلمية والأخلاقية </w:t>
      </w:r>
      <w:r w:rsidRPr="00DB0C22">
        <w:rPr>
          <w:rFonts w:hint="cs"/>
          <w:b/>
          <w:bCs/>
          <w:sz w:val="22"/>
          <w:rtl/>
          <w:lang w:val="ar-SA"/>
        </w:rPr>
        <w:t>ال</w:t>
      </w:r>
      <w:r w:rsidRPr="00DB0C22">
        <w:rPr>
          <w:b/>
          <w:bCs/>
          <w:sz w:val="22"/>
          <w:rtl/>
          <w:lang w:val="ar-SA"/>
        </w:rPr>
        <w:t>متواضعة. تلقى</w:t>
      </w:r>
      <w:r w:rsidRPr="00DB0C22">
        <w:rPr>
          <w:rFonts w:hint="cs"/>
          <w:b/>
          <w:bCs/>
          <w:sz w:val="22"/>
          <w:rtl/>
          <w:lang w:val="ar-SA"/>
        </w:rPr>
        <w:t xml:space="preserve"> العلم</w:t>
      </w:r>
      <w:r w:rsidRPr="00DB0C22">
        <w:rPr>
          <w:b/>
          <w:bCs/>
          <w:sz w:val="22"/>
          <w:rtl/>
          <w:lang w:val="ar-SA"/>
        </w:rPr>
        <w:t xml:space="preserve"> </w:t>
      </w:r>
      <w:r w:rsidRPr="00DB0C22">
        <w:rPr>
          <w:rFonts w:hint="cs"/>
          <w:b/>
          <w:bCs/>
          <w:sz w:val="22"/>
          <w:rtl/>
          <w:lang w:val="ar-SA"/>
        </w:rPr>
        <w:t xml:space="preserve">منه </w:t>
      </w:r>
      <w:r w:rsidRPr="00DB0C22">
        <w:rPr>
          <w:b/>
          <w:bCs/>
          <w:sz w:val="22"/>
          <w:rtl/>
          <w:lang w:val="ar-SA"/>
        </w:rPr>
        <w:t>العديد من الطلاب</w:t>
      </w:r>
      <w:r w:rsidRPr="00DB0C22">
        <w:rPr>
          <w:rFonts w:hint="cs"/>
          <w:b/>
          <w:bCs/>
          <w:sz w:val="22"/>
          <w:rtl/>
          <w:lang w:val="ar-SA"/>
        </w:rPr>
        <w:t xml:space="preserve"> النجباء.</w:t>
      </w:r>
      <w:r w:rsidRPr="00DB0C22">
        <w:rPr>
          <w:b/>
          <w:bCs/>
          <w:sz w:val="22"/>
          <w:rtl/>
          <w:lang w:val="ar-SA"/>
        </w:rPr>
        <w:t xml:space="preserve"> </w:t>
      </w:r>
      <w:r w:rsidRPr="00DB0C22">
        <w:rPr>
          <w:rFonts w:hint="cs"/>
          <w:b/>
          <w:bCs/>
          <w:sz w:val="22"/>
          <w:rtl/>
          <w:lang w:val="ar-SA"/>
        </w:rPr>
        <w:t>و</w:t>
      </w:r>
      <w:r w:rsidRPr="00DB0C22">
        <w:rPr>
          <w:b/>
          <w:bCs/>
          <w:sz w:val="22"/>
          <w:rtl/>
          <w:lang w:val="ar-SA"/>
        </w:rPr>
        <w:t xml:space="preserve">قد ألف رسائل قيمة </w:t>
      </w:r>
      <w:r w:rsidRPr="00DB0C22">
        <w:rPr>
          <w:rFonts w:hint="cs"/>
          <w:b/>
          <w:bCs/>
          <w:sz w:val="22"/>
          <w:rtl/>
          <w:lang w:val="ar-SA"/>
        </w:rPr>
        <w:t>في</w:t>
      </w:r>
      <w:r w:rsidRPr="00DB0C22">
        <w:rPr>
          <w:b/>
          <w:bCs/>
          <w:sz w:val="22"/>
          <w:rtl/>
          <w:lang w:val="ar-SA"/>
        </w:rPr>
        <w:t xml:space="preserve"> التفسير فضلا عن كتب ال</w:t>
      </w:r>
      <w:r w:rsidRPr="00DB0C22">
        <w:rPr>
          <w:rFonts w:hint="cs"/>
          <w:b/>
          <w:bCs/>
          <w:sz w:val="22"/>
          <w:rtl/>
          <w:lang w:val="ar-SA"/>
        </w:rPr>
        <w:t>أ</w:t>
      </w:r>
      <w:r w:rsidRPr="00DB0C22">
        <w:rPr>
          <w:b/>
          <w:bCs/>
          <w:sz w:val="22"/>
          <w:rtl/>
          <w:lang w:val="ar-SA"/>
        </w:rPr>
        <w:t>صول والفق</w:t>
      </w:r>
      <w:r w:rsidRPr="00DB0C22">
        <w:rPr>
          <w:rFonts w:hint="cs"/>
          <w:b/>
          <w:bCs/>
          <w:sz w:val="22"/>
          <w:rtl/>
          <w:lang w:val="ar-SA"/>
        </w:rPr>
        <w:t>ه،</w:t>
      </w:r>
      <w:r w:rsidRPr="00DB0C22">
        <w:rPr>
          <w:b/>
          <w:bCs/>
          <w:sz w:val="22"/>
          <w:rtl/>
          <w:lang w:val="ar-SA"/>
        </w:rPr>
        <w:t xml:space="preserve"> مع </w:t>
      </w:r>
      <w:r w:rsidRPr="00DB0C22">
        <w:rPr>
          <w:rFonts w:hint="cs"/>
          <w:b/>
          <w:bCs/>
          <w:sz w:val="22"/>
          <w:rtl/>
          <w:lang w:val="ar-SA"/>
        </w:rPr>
        <w:t>أ</w:t>
      </w:r>
      <w:r w:rsidRPr="00DB0C22">
        <w:rPr>
          <w:b/>
          <w:bCs/>
          <w:sz w:val="22"/>
          <w:rtl/>
          <w:lang w:val="ar-SA"/>
        </w:rPr>
        <w:t xml:space="preserve">نه لم يكن لديه </w:t>
      </w:r>
      <w:r w:rsidRPr="00DB0C22">
        <w:rPr>
          <w:rFonts w:hint="cs"/>
          <w:b/>
          <w:bCs/>
          <w:sz w:val="22"/>
          <w:rtl/>
          <w:lang w:val="ar-SA"/>
        </w:rPr>
        <w:t>كتاب</w:t>
      </w:r>
      <w:r w:rsidRPr="00DB0C22">
        <w:rPr>
          <w:b/>
          <w:bCs/>
          <w:sz w:val="22"/>
          <w:rtl/>
          <w:lang w:val="ar-SA"/>
        </w:rPr>
        <w:t xml:space="preserve"> مستقل</w:t>
      </w:r>
      <w:r w:rsidRPr="00DB0C22">
        <w:rPr>
          <w:rFonts w:hint="cs"/>
          <w:b/>
          <w:bCs/>
          <w:sz w:val="22"/>
          <w:rtl/>
          <w:lang w:val="ar-SA"/>
        </w:rPr>
        <w:t xml:space="preserve"> في </w:t>
      </w:r>
      <w:r w:rsidRPr="00DB0C22">
        <w:rPr>
          <w:b/>
          <w:bCs/>
          <w:sz w:val="22"/>
          <w:rtl/>
          <w:lang w:val="ar-SA"/>
        </w:rPr>
        <w:t>التفسير</w:t>
      </w:r>
      <w:r w:rsidRPr="00DB0C22">
        <w:rPr>
          <w:rFonts w:hint="cs"/>
          <w:b/>
          <w:bCs/>
          <w:sz w:val="22"/>
          <w:rtl/>
          <w:lang w:val="ar-SA"/>
        </w:rPr>
        <w:t>.كان</w:t>
      </w:r>
      <w:r w:rsidRPr="00DB0C22">
        <w:rPr>
          <w:b/>
          <w:bCs/>
          <w:sz w:val="22"/>
          <w:rtl/>
          <w:lang w:val="ar-SA"/>
        </w:rPr>
        <w:t xml:space="preserve"> </w:t>
      </w:r>
      <w:r w:rsidRPr="00DB0C22">
        <w:rPr>
          <w:rFonts w:hint="cs"/>
          <w:b/>
          <w:bCs/>
          <w:sz w:val="22"/>
          <w:rtl/>
          <w:lang w:val="ar-SA"/>
        </w:rPr>
        <w:t xml:space="preserve">له </w:t>
      </w:r>
      <w:r w:rsidRPr="00DB0C22">
        <w:rPr>
          <w:b/>
          <w:bCs/>
          <w:sz w:val="22"/>
          <w:rtl/>
          <w:lang w:val="ar-SA"/>
        </w:rPr>
        <w:t xml:space="preserve"> رسائل </w:t>
      </w:r>
      <w:r w:rsidRPr="00DB0C22">
        <w:rPr>
          <w:rFonts w:hint="cs"/>
          <w:b/>
          <w:bCs/>
          <w:sz w:val="22"/>
          <w:rtl/>
          <w:lang w:val="ar-SA"/>
        </w:rPr>
        <w:t xml:space="preserve">في </w:t>
      </w:r>
      <w:r w:rsidRPr="00DB0C22">
        <w:rPr>
          <w:b/>
          <w:bCs/>
          <w:sz w:val="22"/>
          <w:rtl/>
          <w:lang w:val="ar-SA"/>
        </w:rPr>
        <w:t xml:space="preserve">تفسير آيات مختلفة </w:t>
      </w:r>
      <w:r w:rsidRPr="00DB0C22">
        <w:rPr>
          <w:rFonts w:hint="cs"/>
          <w:b/>
          <w:bCs/>
          <w:sz w:val="22"/>
          <w:rtl/>
          <w:lang w:val="ar-SA"/>
        </w:rPr>
        <w:t xml:space="preserve">من سور القرآن الكريم، </w:t>
      </w:r>
      <w:r w:rsidRPr="00DB0C22">
        <w:rPr>
          <w:b/>
          <w:bCs/>
          <w:sz w:val="22"/>
          <w:rtl/>
          <w:lang w:val="ar-SA"/>
        </w:rPr>
        <w:t>و</w:t>
      </w:r>
      <w:r w:rsidRPr="00DB0C22">
        <w:rPr>
          <w:rFonts w:hint="cs"/>
          <w:b/>
          <w:bCs/>
          <w:sz w:val="22"/>
          <w:rtl/>
          <w:lang w:val="ar-SA"/>
        </w:rPr>
        <w:t>له</w:t>
      </w:r>
      <w:r w:rsidRPr="00DB0C22">
        <w:rPr>
          <w:b/>
          <w:bCs/>
          <w:sz w:val="22"/>
          <w:rtl/>
          <w:lang w:val="ar-SA"/>
        </w:rPr>
        <w:t xml:space="preserve"> تعل</w:t>
      </w:r>
      <w:r w:rsidRPr="00DB0C22">
        <w:rPr>
          <w:rFonts w:hint="cs"/>
          <w:b/>
          <w:bCs/>
          <w:sz w:val="22"/>
          <w:rtl/>
          <w:lang w:val="ar-SA"/>
        </w:rPr>
        <w:t>ي</w:t>
      </w:r>
      <w:r w:rsidRPr="00DB0C22">
        <w:rPr>
          <w:b/>
          <w:bCs/>
          <w:sz w:val="22"/>
          <w:rtl/>
          <w:lang w:val="ar-SA"/>
        </w:rPr>
        <w:t xml:space="preserve">ق </w:t>
      </w:r>
      <w:r w:rsidRPr="00DB0C22">
        <w:rPr>
          <w:rFonts w:hint="cs"/>
          <w:b/>
          <w:bCs/>
          <w:sz w:val="22"/>
          <w:rtl/>
          <w:lang w:val="ar-SA"/>
        </w:rPr>
        <w:t xml:space="preserve">في </w:t>
      </w:r>
      <w:r w:rsidRPr="00DB0C22">
        <w:rPr>
          <w:b/>
          <w:bCs/>
          <w:sz w:val="22"/>
          <w:rtl/>
          <w:lang w:val="ar-SA"/>
        </w:rPr>
        <w:t>جزء من التفسير اسمه أنوار التنزيل وأسرار التأويل التي كتبها</w:t>
      </w:r>
      <w:r w:rsidRPr="00DB0C22">
        <w:rPr>
          <w:rFonts w:hint="cs"/>
          <w:b/>
          <w:bCs/>
          <w:sz w:val="22"/>
          <w:rtl/>
          <w:lang w:val="ar-SA"/>
        </w:rPr>
        <w:t xml:space="preserve"> القاضي</w:t>
      </w:r>
      <w:r w:rsidRPr="00DB0C22">
        <w:rPr>
          <w:b/>
          <w:bCs/>
          <w:sz w:val="22"/>
          <w:rtl/>
          <w:lang w:val="ar-SA"/>
        </w:rPr>
        <w:t xml:space="preserve"> </w:t>
      </w:r>
      <w:r w:rsidRPr="00DB0C22">
        <w:rPr>
          <w:rFonts w:hint="cs"/>
          <w:b/>
          <w:bCs/>
          <w:sz w:val="22"/>
          <w:rtl/>
          <w:lang w:val="ar-SA"/>
        </w:rPr>
        <w:t>ال</w:t>
      </w:r>
      <w:r w:rsidRPr="00DB0C22">
        <w:rPr>
          <w:b/>
          <w:bCs/>
          <w:sz w:val="22"/>
          <w:rtl/>
          <w:lang w:val="ar-SA"/>
        </w:rPr>
        <w:t xml:space="preserve">بيضاوي. </w:t>
      </w:r>
      <w:r w:rsidRPr="00DB0C22">
        <w:rPr>
          <w:rFonts w:hint="cs"/>
          <w:b/>
          <w:bCs/>
          <w:sz w:val="22"/>
          <w:rtl/>
          <w:lang w:val="ar-SA"/>
        </w:rPr>
        <w:t>و</w:t>
      </w:r>
      <w:r w:rsidRPr="00DB0C22">
        <w:rPr>
          <w:b/>
          <w:bCs/>
          <w:sz w:val="22"/>
          <w:rtl/>
          <w:lang w:val="ar-SA"/>
        </w:rPr>
        <w:t xml:space="preserve">وضح بهذه الرسالة </w:t>
      </w:r>
      <w:r w:rsidRPr="00DB0C22">
        <w:rPr>
          <w:rFonts w:hint="cs"/>
          <w:b/>
          <w:bCs/>
          <w:sz w:val="22"/>
          <w:rtl/>
          <w:lang w:val="ar-SA"/>
        </w:rPr>
        <w:t xml:space="preserve">آيات سورة </w:t>
      </w:r>
      <w:r w:rsidRPr="00DB0C22">
        <w:rPr>
          <w:b/>
          <w:bCs/>
          <w:sz w:val="22"/>
          <w:rtl/>
          <w:lang w:val="ar-SA"/>
        </w:rPr>
        <w:t>الفاتحة بأسلوب</w:t>
      </w:r>
      <w:r w:rsidRPr="00DB0C22">
        <w:rPr>
          <w:rFonts w:hint="cs"/>
          <w:b/>
          <w:bCs/>
          <w:sz w:val="22"/>
          <w:rtl/>
          <w:lang w:val="ar-SA"/>
        </w:rPr>
        <w:t>ه</w:t>
      </w:r>
      <w:r w:rsidRPr="00DB0C22">
        <w:rPr>
          <w:b/>
          <w:bCs/>
          <w:sz w:val="22"/>
          <w:rtl/>
          <w:lang w:val="ar-SA"/>
        </w:rPr>
        <w:t xml:space="preserve"> </w:t>
      </w:r>
      <w:r w:rsidRPr="00DB0C22">
        <w:rPr>
          <w:rFonts w:hint="cs"/>
          <w:b/>
          <w:bCs/>
          <w:sz w:val="22"/>
          <w:rtl/>
          <w:lang w:val="ar-SA"/>
        </w:rPr>
        <w:t>ال</w:t>
      </w:r>
      <w:r w:rsidRPr="00DB0C22">
        <w:rPr>
          <w:b/>
          <w:bCs/>
          <w:sz w:val="22"/>
          <w:rtl/>
          <w:lang w:val="ar-SA"/>
        </w:rPr>
        <w:t xml:space="preserve">إشاري </w:t>
      </w:r>
      <w:r w:rsidRPr="00DB0C22">
        <w:rPr>
          <w:rFonts w:hint="cs"/>
          <w:b/>
          <w:bCs/>
          <w:sz w:val="22"/>
          <w:rtl/>
          <w:lang w:val="ar-SA"/>
        </w:rPr>
        <w:t>الذي ي</w:t>
      </w:r>
      <w:r w:rsidRPr="00DB0C22">
        <w:rPr>
          <w:b/>
          <w:bCs/>
          <w:sz w:val="22"/>
          <w:rtl/>
          <w:lang w:val="ar-SA"/>
        </w:rPr>
        <w:t>عد</w:t>
      </w:r>
      <w:r w:rsidRPr="00DB0C22">
        <w:rPr>
          <w:rFonts w:hint="cs"/>
          <w:b/>
          <w:bCs/>
          <w:sz w:val="22"/>
          <w:rtl/>
          <w:lang w:val="ar-SA"/>
        </w:rPr>
        <w:t xml:space="preserve"> من</w:t>
      </w:r>
      <w:r w:rsidRPr="00DB0C22">
        <w:rPr>
          <w:b/>
          <w:bCs/>
          <w:sz w:val="22"/>
          <w:rtl/>
          <w:lang w:val="ar-SA"/>
        </w:rPr>
        <w:t xml:space="preserve"> خصائص </w:t>
      </w:r>
      <w:r w:rsidRPr="00DB0C22">
        <w:rPr>
          <w:rFonts w:hint="cs"/>
          <w:b/>
          <w:bCs/>
          <w:sz w:val="22"/>
          <w:rtl/>
          <w:lang w:val="ar-SA"/>
        </w:rPr>
        <w:t>التفسير</w:t>
      </w:r>
      <w:r w:rsidRPr="00DB0C22">
        <w:rPr>
          <w:b/>
          <w:bCs/>
          <w:sz w:val="22"/>
          <w:rtl/>
          <w:lang w:val="ar-SA"/>
        </w:rPr>
        <w:t xml:space="preserve"> العثماني.</w:t>
      </w:r>
      <w:r w:rsidRPr="00DB0C22">
        <w:rPr>
          <w:rFonts w:hint="cs"/>
          <w:b/>
          <w:bCs/>
          <w:sz w:val="22"/>
          <w:rtl/>
          <w:lang w:val="ar-SA"/>
        </w:rPr>
        <w:t xml:space="preserve"> وقد خلت رسالته من </w:t>
      </w:r>
      <w:r w:rsidRPr="00DB0C22">
        <w:rPr>
          <w:b/>
          <w:bCs/>
          <w:sz w:val="22"/>
          <w:rtl/>
          <w:lang w:val="ar-SA"/>
        </w:rPr>
        <w:t>التفاصيل اللغوي</w:t>
      </w:r>
      <w:r w:rsidRPr="00DB0C22">
        <w:rPr>
          <w:rFonts w:hint="cs"/>
          <w:b/>
          <w:bCs/>
          <w:sz w:val="22"/>
          <w:rtl/>
          <w:lang w:val="ar-SA"/>
        </w:rPr>
        <w:t>ة الطويلة والإستدلالات المنطقية،</w:t>
      </w:r>
      <w:r w:rsidRPr="00DB0C22">
        <w:rPr>
          <w:b/>
          <w:bCs/>
          <w:sz w:val="22"/>
          <w:rtl/>
          <w:lang w:val="ar-SA"/>
        </w:rPr>
        <w:t xml:space="preserve"> و</w:t>
      </w:r>
      <w:r w:rsidRPr="00DB0C22">
        <w:rPr>
          <w:rFonts w:hint="cs"/>
          <w:b/>
          <w:bCs/>
          <w:sz w:val="22"/>
          <w:rtl/>
          <w:lang w:val="ar-SA"/>
        </w:rPr>
        <w:t xml:space="preserve">تضمنت </w:t>
      </w:r>
      <w:r w:rsidRPr="00DB0C22">
        <w:rPr>
          <w:b/>
          <w:bCs/>
          <w:sz w:val="22"/>
          <w:rtl/>
          <w:lang w:val="ar-SA"/>
        </w:rPr>
        <w:t>الإيضاحات</w:t>
      </w:r>
      <w:r w:rsidRPr="00DB0C22">
        <w:rPr>
          <w:rFonts w:hint="cs"/>
          <w:b/>
          <w:bCs/>
          <w:sz w:val="22"/>
          <w:rtl/>
          <w:lang w:val="ar-SA"/>
        </w:rPr>
        <w:t xml:space="preserve"> والمعاني الإشارية </w:t>
      </w:r>
      <w:r w:rsidRPr="00DB0C22">
        <w:rPr>
          <w:b/>
          <w:bCs/>
          <w:sz w:val="22"/>
          <w:rtl/>
          <w:lang w:val="ar-SA"/>
        </w:rPr>
        <w:t>الموافق</w:t>
      </w:r>
      <w:r w:rsidRPr="00DB0C22">
        <w:rPr>
          <w:rFonts w:hint="cs"/>
          <w:b/>
          <w:bCs/>
          <w:sz w:val="22"/>
          <w:rtl/>
          <w:lang w:val="ar-SA"/>
        </w:rPr>
        <w:t>ة</w:t>
      </w:r>
      <w:r w:rsidRPr="00DB0C22">
        <w:rPr>
          <w:b/>
          <w:bCs/>
          <w:sz w:val="22"/>
          <w:rtl/>
          <w:lang w:val="ar-SA"/>
        </w:rPr>
        <w:t xml:space="preserve"> </w:t>
      </w:r>
      <w:r w:rsidRPr="00DB0C22">
        <w:rPr>
          <w:rFonts w:hint="cs"/>
          <w:b/>
          <w:bCs/>
          <w:sz w:val="22"/>
          <w:rtl/>
          <w:lang w:val="ar-SA"/>
        </w:rPr>
        <w:t>ل</w:t>
      </w:r>
      <w:r w:rsidRPr="00DB0C22">
        <w:rPr>
          <w:b/>
          <w:bCs/>
          <w:sz w:val="22"/>
          <w:rtl/>
          <w:lang w:val="ar-SA"/>
        </w:rPr>
        <w:t>لمعنى الظاهري</w:t>
      </w:r>
      <w:r w:rsidRPr="00DB0C22">
        <w:rPr>
          <w:rFonts w:hint="cs"/>
          <w:b/>
          <w:bCs/>
          <w:sz w:val="22"/>
          <w:rtl/>
          <w:lang w:val="ar-SA"/>
        </w:rPr>
        <w:t xml:space="preserve"> رغم أنه لم يكن فيها</w:t>
      </w:r>
      <w:r w:rsidRPr="00DB0C22">
        <w:rPr>
          <w:b/>
          <w:bCs/>
          <w:sz w:val="22"/>
          <w:rtl/>
          <w:lang w:val="ar-SA"/>
        </w:rPr>
        <w:t xml:space="preserve"> تناقض</w:t>
      </w:r>
      <w:r w:rsidRPr="00DB0C22">
        <w:rPr>
          <w:rFonts w:hint="cs"/>
          <w:b/>
          <w:bCs/>
          <w:sz w:val="22"/>
          <w:rtl/>
          <w:lang w:val="ar-SA"/>
        </w:rPr>
        <w:t xml:space="preserve"> بين المعنى الإشاري و</w:t>
      </w:r>
      <w:r w:rsidRPr="00DB0C22">
        <w:rPr>
          <w:b/>
          <w:bCs/>
          <w:sz w:val="22"/>
          <w:rtl/>
          <w:lang w:val="ar-SA"/>
        </w:rPr>
        <w:t xml:space="preserve"> </w:t>
      </w:r>
      <w:r w:rsidRPr="00DB0C22">
        <w:rPr>
          <w:rFonts w:hint="cs"/>
          <w:b/>
          <w:bCs/>
          <w:sz w:val="22"/>
          <w:rtl/>
          <w:lang w:val="ar-SA"/>
        </w:rPr>
        <w:t xml:space="preserve">المعنى الظاهري إلا أنه لايفهم منه المعنى الظاهري أولا. </w:t>
      </w:r>
    </w:p>
    <w:p w:rsidR="00DB0C22" w:rsidRPr="00DB0C22" w:rsidRDefault="00DB0C22" w:rsidP="00DB0C22">
      <w:pPr>
        <w:pStyle w:val="Abstracttitle"/>
        <w:bidi/>
        <w:rPr>
          <w:sz w:val="22"/>
          <w:szCs w:val="22"/>
          <w:lang w:val="tr-TR"/>
        </w:rPr>
      </w:pPr>
      <w:r w:rsidRPr="00DB0C22">
        <w:rPr>
          <w:rFonts w:hint="cs"/>
          <w:sz w:val="22"/>
          <w:szCs w:val="22"/>
          <w:rtl/>
          <w:lang w:val="ar-SA"/>
        </w:rPr>
        <w:t>الكلمات المفتاحية</w:t>
      </w:r>
      <w:r w:rsidRPr="00DB0C22">
        <w:rPr>
          <w:sz w:val="22"/>
          <w:szCs w:val="22"/>
          <w:rtl/>
          <w:lang w:val="ar-SA"/>
        </w:rPr>
        <w:t>: ملا خسرو، سورة الفاتحة،</w:t>
      </w:r>
      <w:r w:rsidRPr="00DB0C22">
        <w:rPr>
          <w:sz w:val="22"/>
          <w:szCs w:val="22"/>
          <w:lang w:val="tr-TR"/>
        </w:rPr>
        <w:t xml:space="preserve"> </w:t>
      </w:r>
      <w:r w:rsidRPr="00DB0C22">
        <w:rPr>
          <w:sz w:val="22"/>
          <w:szCs w:val="22"/>
          <w:rtl/>
        </w:rPr>
        <w:t>التفسير،</w:t>
      </w:r>
      <w:r w:rsidRPr="00DB0C22">
        <w:rPr>
          <w:sz w:val="22"/>
          <w:szCs w:val="22"/>
          <w:lang w:val="tr-TR"/>
        </w:rPr>
        <w:t xml:space="preserve"> </w:t>
      </w:r>
      <w:r w:rsidRPr="00DB0C22">
        <w:rPr>
          <w:sz w:val="22"/>
          <w:szCs w:val="22"/>
          <w:rtl/>
          <w:lang w:val="ar-SA"/>
        </w:rPr>
        <w:t>الإشاري</w:t>
      </w:r>
      <w:r w:rsidRPr="00DB0C22">
        <w:rPr>
          <w:rFonts w:hint="cs"/>
          <w:sz w:val="22"/>
          <w:szCs w:val="22"/>
          <w:rtl/>
          <w:lang w:val="ar-SA"/>
        </w:rPr>
        <w:t>.</w:t>
      </w:r>
    </w:p>
    <w:p w:rsidR="00DB0C22" w:rsidRPr="00DB0C22" w:rsidRDefault="00DB0C22" w:rsidP="00DB0C22">
      <w:pPr>
        <w:pStyle w:val="Abstracttitle"/>
        <w:rPr>
          <w:rtl/>
        </w:rPr>
      </w:pPr>
      <w:r w:rsidRPr="00DB0C22">
        <w:rPr>
          <w:lang w:val="tr-TR"/>
        </w:rPr>
        <w:t xml:space="preserve">Molla Hüsrev’in Risâle fî Esrâri’l-Fâtihâ Adlı Eserinin Tahkik ve Değerlendirmesi </w:t>
      </w:r>
    </w:p>
    <w:p w:rsidR="00DB0C22" w:rsidRPr="00975803" w:rsidRDefault="00DB0C22" w:rsidP="00DB0C22">
      <w:pPr>
        <w:pStyle w:val="zmetni"/>
      </w:pPr>
      <w:r w:rsidRPr="00975803">
        <w:rPr>
          <w:rStyle w:val="Usul-Bold"/>
        </w:rPr>
        <w:t>Öz</w:t>
      </w:r>
      <w:r>
        <w:t xml:space="preserve">: </w:t>
      </w:r>
      <w:r w:rsidRPr="00DB0C22">
        <w:t>Molla Hüsrev (ö. 885/1480), II. Murad ve Fatih Sultan Mehmet dönemlerinde devletin önemli kademelerinde, müderrislik, kadılık ve müftülük görevlerinde bulunmuş, ilmi, ahlâkı ve mütevazî yaşantısı ile büyük itibar görmüştür. Birçok öğrenci yetiştirip, kıymetli eserler kaleme alan Molla Hüsrev, us</w:t>
      </w:r>
      <w:r w:rsidRPr="00DB0C22">
        <w:rPr>
          <w:lang w:val="fr-FR"/>
        </w:rPr>
        <w:t>û</w:t>
      </w:r>
      <w:r w:rsidRPr="00DB0C22">
        <w:t>l ve fıkha dair mevcut eserlerinin yanı sıra tefsire dair de değerli risaleler bırakmıştır. Müstakil bir tefsire sahip olmamakla birlikte Beydâvî</w:t>
      </w:r>
      <w:r w:rsidRPr="00DB0C22">
        <w:rPr>
          <w:lang w:val="fr-FR"/>
        </w:rPr>
        <w:t>’</w:t>
      </w:r>
      <w:r w:rsidRPr="00DB0C22">
        <w:t>nin</w:t>
      </w:r>
      <w:bookmarkStart w:id="1" w:name="_DdeLink__5_979155859"/>
      <w:r w:rsidRPr="00DB0C22">
        <w:t xml:space="preserve"> </w:t>
      </w:r>
      <w:r w:rsidRPr="00DB0C22">
        <w:rPr>
          <w:i/>
          <w:iCs/>
        </w:rPr>
        <w:t>Envâru</w:t>
      </w:r>
      <w:r w:rsidRPr="00DB0C22">
        <w:rPr>
          <w:i/>
          <w:iCs/>
          <w:lang w:val="fr-FR"/>
        </w:rPr>
        <w:t>’</w:t>
      </w:r>
      <w:r w:rsidRPr="00DB0C22">
        <w:rPr>
          <w:i/>
          <w:iCs/>
          <w:lang w:val="it-IT"/>
        </w:rPr>
        <w:t>t-tenz</w:t>
      </w:r>
      <w:r w:rsidRPr="00DB0C22">
        <w:rPr>
          <w:i/>
          <w:iCs/>
        </w:rPr>
        <w:t>îl ve esrâru</w:t>
      </w:r>
      <w:r w:rsidRPr="00DB0C22">
        <w:rPr>
          <w:i/>
          <w:iCs/>
          <w:lang w:val="fr-FR"/>
        </w:rPr>
        <w:t>’</w:t>
      </w:r>
      <w:r w:rsidRPr="00DB0C22">
        <w:rPr>
          <w:i/>
          <w:iCs/>
        </w:rPr>
        <w:t>t-tevîl</w:t>
      </w:r>
      <w:bookmarkEnd w:id="1"/>
      <w:r w:rsidRPr="00DB0C22">
        <w:t xml:space="preserve"> adlı tefsirinin bir bölümüne şerhi ve farklı âyetler için kaleme aldığı henüz tab‘ edilmemiş tefsir risaleleri bulunmaktadır. Fâtiha s</w:t>
      </w:r>
      <w:r w:rsidRPr="00DB0C22">
        <w:rPr>
          <w:lang w:val="fr-FR"/>
        </w:rPr>
        <w:t>û</w:t>
      </w:r>
      <w:r w:rsidRPr="00DB0C22">
        <w:t>resine dair bu önemli risalesinde, âyetleri um</w:t>
      </w:r>
      <w:r w:rsidRPr="00DB0C22">
        <w:rPr>
          <w:lang w:val="fr-FR"/>
        </w:rPr>
        <w:t>û</w:t>
      </w:r>
      <w:r w:rsidRPr="00DB0C22">
        <w:t>miyetle Osmanlı tefsir geleneğinin husûsiyetlerinden addedilebilecek işârî bir üsl</w:t>
      </w:r>
      <w:r w:rsidRPr="00DB0C22">
        <w:rPr>
          <w:lang w:val="fr-FR"/>
        </w:rPr>
        <w:t>û</w:t>
      </w:r>
      <w:r w:rsidRPr="00DB0C22">
        <w:t>b ile yorumlamıştır. Uzun lügavî açıklamaların, aklî çıkarımların bulunmadığı küçük hacimli bu risalede, zâhirî mânadan istidlal edilemeyecek fakat zahirî manaya da ters düşmeyecek izahlar mevcuttur.</w:t>
      </w:r>
    </w:p>
    <w:p w:rsidR="00BB1724" w:rsidRPr="00DB0C22" w:rsidRDefault="00DB0C22" w:rsidP="00DB0C22">
      <w:pPr>
        <w:pStyle w:val="zmetni"/>
      </w:pPr>
      <w:r w:rsidRPr="00975803">
        <w:rPr>
          <w:rStyle w:val="Usul-Bold"/>
        </w:rPr>
        <w:t>Anahtar Kelimeler</w:t>
      </w:r>
      <w:r w:rsidRPr="00975803">
        <w:t xml:space="preserve">: </w:t>
      </w:r>
      <w:r w:rsidRPr="00DB0C22">
        <w:t>Molla Hüsre</w:t>
      </w:r>
      <w:r w:rsidR="004874A1">
        <w:t>v, Fâtiha sûresi, Tefsir, İşârî</w:t>
      </w:r>
      <w:r>
        <w:t>.</w:t>
      </w:r>
    </w:p>
    <w:p w:rsidR="00A14CB2" w:rsidRDefault="00A14CB2" w:rsidP="0011546F">
      <w:pPr>
        <w:pStyle w:val="Abstracttext"/>
        <w:rPr>
          <w:b/>
          <w:bCs/>
        </w:rPr>
      </w:pPr>
      <w:r w:rsidRPr="00A14CB2">
        <w:rPr>
          <w:b/>
          <w:bCs/>
        </w:rPr>
        <w:t>The Evaluation and critical edition of Molla Hüsrev’s Risâle fî Esrâri’l-Fâtihâ</w:t>
      </w:r>
    </w:p>
    <w:p w:rsidR="00DB0C22" w:rsidRDefault="0011546F" w:rsidP="00A14CB2">
      <w:pPr>
        <w:pStyle w:val="Abstracttext"/>
      </w:pPr>
      <w:r w:rsidRPr="0011546F">
        <w:rPr>
          <w:b/>
          <w:bCs/>
        </w:rPr>
        <w:t>Abstract</w:t>
      </w:r>
      <w:r w:rsidRPr="0011546F">
        <w:t xml:space="preserve">: </w:t>
      </w:r>
      <w:r w:rsidR="00A14CB2" w:rsidRPr="00A14CB2">
        <w:t xml:space="preserve">Molla Husrev was a highly respected, humble scholar and a person of great moral character who lived during the reign of Sultan Murad the Second and his son Mehmet II the Conqueror. During this period, he was appointed to different positions as muderris, qadi, and mufti. He had educated too many students and wrote various precious books in Usûl and Fiqh, as well as in Tafsir. Although he didn’t write a complete and independent Tafsir which covers all the Quran, he made very special contributions to Beydavi’s </w:t>
      </w:r>
      <w:r w:rsidR="00A14CB2" w:rsidRPr="00A14CB2">
        <w:lastRenderedPageBreak/>
        <w:t>Envâru’t-tenzîl ve esrâru’t-tevîl by writing explanatory texts on some parts of it. There are also unpublished epistles that he wrote about different verses of Quran. In one of these epistles, he interpreted Surat al-Fatiha based on Ishari understanding which reflects the one of main characteristics of Ottoman Tafsir tradition. In this short epistle which gives no place to long linguistic explanations and rational implications, the author makes interpretations which cannot be taken from the apparent meaning but also do not contradict it.</w:t>
      </w:r>
    </w:p>
    <w:p w:rsidR="0011546F" w:rsidRPr="002C3454" w:rsidRDefault="0011546F" w:rsidP="00A14CB2">
      <w:pPr>
        <w:pStyle w:val="Abstracttext"/>
      </w:pPr>
      <w:r w:rsidRPr="0011546F">
        <w:rPr>
          <w:b/>
          <w:bCs/>
        </w:rPr>
        <w:t>Key Words</w:t>
      </w:r>
      <w:r w:rsidRPr="0011546F">
        <w:t xml:space="preserve">: </w:t>
      </w:r>
      <w:r w:rsidR="00A14CB2" w:rsidRPr="00A14CB2">
        <w:t>Molla Husrev, Surat al-Fatih, Tafsir, Interpretation, Ishari, al-Tafsir al-Ishari.</w:t>
      </w:r>
    </w:p>
    <w:p w:rsidR="00DB0C22" w:rsidRPr="00DB0C22" w:rsidRDefault="00DB0C22" w:rsidP="001C45C1">
      <w:pPr>
        <w:pStyle w:val="Balk1"/>
        <w:numPr>
          <w:ilvl w:val="0"/>
          <w:numId w:val="2"/>
        </w:numPr>
        <w:bidi/>
        <w:rPr>
          <w:rtl/>
        </w:rPr>
      </w:pPr>
      <w:r w:rsidRPr="00DB0C22">
        <w:rPr>
          <w:rtl/>
        </w:rPr>
        <w:t>التقديم</w:t>
      </w:r>
    </w:p>
    <w:p w:rsidR="00DB0C22" w:rsidRPr="006D2ABB" w:rsidRDefault="00DB0C22" w:rsidP="0011546F">
      <w:pPr>
        <w:pStyle w:val="GvdeMetni"/>
        <w:bidi/>
        <w:spacing w:line="280" w:lineRule="exact"/>
        <w:rPr>
          <w:rFonts w:eastAsiaTheme="minorHAnsi"/>
          <w:rtl/>
        </w:rPr>
      </w:pPr>
      <w:r w:rsidRPr="006D2ABB">
        <w:rPr>
          <w:rFonts w:eastAsiaTheme="minorHAnsi"/>
          <w:rtl/>
        </w:rPr>
        <w:t>الحمد لله رَّبِّ الْعَالَمِينَ، والصلاة والسلام على أحمد الحامدين، صاحب لواء الحمد، محمد الذي جعله ربه علي صراط مستقيم وأسند إليه تبيان الصراط المستقيم و القرآن العظيم. وعلي آله وأصحابه الذين هدوا إلى صراط الذين أنعم الله عليهم وعلى من اتبعهم في فهم السبع المثاني والقرآن العظيم  إلي يوم الدين.</w:t>
      </w:r>
    </w:p>
    <w:p w:rsidR="00DB0C22" w:rsidRPr="006D2ABB" w:rsidRDefault="00DB0C22" w:rsidP="0011546F">
      <w:pPr>
        <w:pStyle w:val="GvdeMetni"/>
        <w:bidi/>
        <w:spacing w:line="280" w:lineRule="exact"/>
        <w:rPr>
          <w:rFonts w:eastAsiaTheme="minorHAnsi"/>
          <w:rtl/>
        </w:rPr>
      </w:pPr>
      <w:r w:rsidRPr="006D2ABB">
        <w:rPr>
          <w:rtl/>
        </w:rPr>
        <w:t xml:space="preserve">أما بعد: فموضوع هذه المقالة رسالة مُلَّا خسرو في أسرار الفاتحة فقمت بتحقيقها تحقيقا علميًا مع تقديم دراسة عليها.  </w:t>
      </w:r>
    </w:p>
    <w:p w:rsidR="00DB0C22" w:rsidRPr="006D2ABB" w:rsidRDefault="00DB0C22" w:rsidP="0011546F">
      <w:pPr>
        <w:pStyle w:val="GvdeMetni"/>
        <w:bidi/>
        <w:spacing w:line="280" w:lineRule="exact"/>
        <w:rPr>
          <w:rtl/>
        </w:rPr>
      </w:pPr>
      <w:r w:rsidRPr="006D2ABB">
        <w:rPr>
          <w:rtl/>
        </w:rPr>
        <w:t>فرتبتها على تقديم ومقدمة و مبحث وخاتمة.</w:t>
      </w:r>
    </w:p>
    <w:p w:rsidR="00DB0C22" w:rsidRPr="00DB0C22" w:rsidRDefault="00DB0C22" w:rsidP="0011546F">
      <w:pPr>
        <w:pStyle w:val="GvdeMetni"/>
        <w:bidi/>
        <w:spacing w:line="280" w:lineRule="exact"/>
        <w:rPr>
          <w:rtl/>
          <w:lang w:val="ar-SA"/>
        </w:rPr>
      </w:pPr>
      <w:r w:rsidRPr="00DB0C22">
        <w:rPr>
          <w:rtl/>
          <w:lang w:val="ar-SA"/>
        </w:rPr>
        <w:t xml:space="preserve">فأما التقديم فقد جعلته على  خطبة البحث ومحتوياته. </w:t>
      </w:r>
    </w:p>
    <w:p w:rsidR="00DB0C22" w:rsidRPr="00DB0C22" w:rsidRDefault="00DB0C22" w:rsidP="0011546F">
      <w:pPr>
        <w:pStyle w:val="GvdeMetni"/>
        <w:bidi/>
        <w:spacing w:line="280" w:lineRule="exact"/>
        <w:rPr>
          <w:rtl/>
        </w:rPr>
      </w:pPr>
      <w:r w:rsidRPr="00DB0C22">
        <w:rPr>
          <w:rtl/>
        </w:rPr>
        <w:t>وأما المقدمة فقد جعلتها على أربع مسائل: المسألة الأولي: ترجمة المؤلف ومؤلفاته، والمسألة الثانية: خصائص الرسالة، والمسألة الثالثة: توثيق نسبة الرسالة لمؤلفها والتعريف بنسخ الرسالة، والمسألة الرابعة: منهجي في التحقيق.</w:t>
      </w:r>
    </w:p>
    <w:p w:rsidR="00DB0C22" w:rsidRPr="00DB0C22" w:rsidRDefault="00DB0C22" w:rsidP="0011546F">
      <w:pPr>
        <w:pStyle w:val="GvdeMetni"/>
        <w:bidi/>
        <w:spacing w:line="280" w:lineRule="exact"/>
        <w:rPr>
          <w:rtl/>
        </w:rPr>
      </w:pPr>
      <w:r w:rsidRPr="00DB0C22">
        <w:rPr>
          <w:rtl/>
        </w:rPr>
        <w:t xml:space="preserve">وأما المبحث ففي  تحقيق نص الرسالة والتعليق عليها. </w:t>
      </w:r>
    </w:p>
    <w:p w:rsidR="00DB0C22" w:rsidRPr="00DB0C22" w:rsidRDefault="00DB0C22" w:rsidP="0011546F">
      <w:pPr>
        <w:pStyle w:val="GvdeMetni"/>
        <w:bidi/>
        <w:spacing w:line="280" w:lineRule="exact"/>
        <w:rPr>
          <w:rtl/>
        </w:rPr>
      </w:pPr>
      <w:r w:rsidRPr="00DB0C22">
        <w:rPr>
          <w:rtl/>
        </w:rPr>
        <w:t>أما الخاتمة ففي النتائج والتوصيات وفهرس المراجع.</w:t>
      </w:r>
    </w:p>
    <w:p w:rsidR="00DB0C22" w:rsidRPr="00DB0C22" w:rsidRDefault="00DB0C22" w:rsidP="001C45C1">
      <w:pPr>
        <w:pStyle w:val="Balk1"/>
        <w:numPr>
          <w:ilvl w:val="0"/>
          <w:numId w:val="2"/>
        </w:numPr>
        <w:bidi/>
        <w:rPr>
          <w:rtl/>
          <w:lang w:val="ar-SA"/>
        </w:rPr>
      </w:pPr>
      <w:r w:rsidRPr="00DB0C22">
        <w:rPr>
          <w:rFonts w:hint="cs"/>
          <w:rtl/>
          <w:lang w:val="ar-SA"/>
        </w:rPr>
        <w:t>المقدمة</w:t>
      </w:r>
    </w:p>
    <w:p w:rsidR="00DB0C22" w:rsidRPr="00DB0C22" w:rsidRDefault="00DB0C22" w:rsidP="001C45C1">
      <w:pPr>
        <w:pStyle w:val="Balk2"/>
        <w:numPr>
          <w:ilvl w:val="0"/>
          <w:numId w:val="3"/>
        </w:numPr>
        <w:bidi/>
        <w:rPr>
          <w:rtl/>
          <w:lang w:val="ar-SA"/>
        </w:rPr>
      </w:pPr>
      <w:r w:rsidRPr="00DB0C22">
        <w:rPr>
          <w:rFonts w:hint="cs"/>
          <w:rtl/>
          <w:lang w:val="ar-SA"/>
        </w:rPr>
        <w:t>ترجمة المؤلف</w:t>
      </w:r>
    </w:p>
    <w:p w:rsidR="00DB0C22" w:rsidRPr="00DB0C22" w:rsidRDefault="00DB0C22" w:rsidP="00DB0C22">
      <w:pPr>
        <w:pStyle w:val="GvdeMetni"/>
        <w:bidi/>
        <w:rPr>
          <w:b/>
          <w:bCs/>
          <w:rtl/>
          <w:lang w:val="ar-SA"/>
        </w:rPr>
      </w:pPr>
      <w:r w:rsidRPr="00DB0C22">
        <w:rPr>
          <w:rFonts w:hint="cs"/>
          <w:rtl/>
          <w:lang w:val="ar-SA"/>
        </w:rPr>
        <w:t>هو محمد بن فَرَامُرز بن علي، الحنفى، الرومي، القاضي، المفسر، الفقيه، الأصولي، المتكلم، البياني، المعروف بملا خسرو ( ؟-885هـ/؟-1480م)</w:t>
      </w:r>
      <w:r w:rsidRPr="00DB0C22">
        <w:rPr>
          <w:vertAlign w:val="superscript"/>
          <w:rtl/>
          <w:lang w:val="ar-SA"/>
        </w:rPr>
        <w:footnoteReference w:id="2"/>
      </w:r>
      <w:r w:rsidRPr="00DB0C22">
        <w:rPr>
          <w:rFonts w:hint="cs"/>
          <w:rtl/>
          <w:lang w:val="ar-SA"/>
        </w:rPr>
        <w:t>.وكان والده رومي الأصل وهو من أمراء التركمان</w:t>
      </w:r>
      <w:r w:rsidRPr="00DB0C22">
        <w:rPr>
          <w:vertAlign w:val="superscript"/>
          <w:lang w:val="ar-SA"/>
        </w:rPr>
        <w:footnoteReference w:id="3"/>
      </w:r>
      <w:r w:rsidRPr="00DB0C22">
        <w:rPr>
          <w:rFonts w:hint="cs"/>
          <w:rtl/>
          <w:lang w:val="ar-SA"/>
        </w:rPr>
        <w:t xml:space="preserve">، وكان </w:t>
      </w:r>
      <w:r w:rsidRPr="00DB0C22">
        <w:rPr>
          <w:rFonts w:hint="cs"/>
          <w:rtl/>
          <w:lang w:val="ar-SA"/>
        </w:rPr>
        <w:lastRenderedPageBreak/>
        <w:t>له بنت تزوجت من أمير آخر اسمه بخسرو ولما توفى وابنه محمد صغير، تولى أمره خسرو واستحضنه في حجره، فاشتهر باسمه وغلب عليه اسم خسرو.</w:t>
      </w:r>
      <w:r w:rsidRPr="00DB0C22">
        <w:rPr>
          <w:vertAlign w:val="superscript"/>
          <w:lang w:val="ar-SA"/>
        </w:rPr>
        <w:footnoteReference w:id="4"/>
      </w:r>
    </w:p>
    <w:p w:rsidR="00DB0C22" w:rsidRPr="00DB0C22" w:rsidRDefault="00DB0C22" w:rsidP="00DB0C22">
      <w:pPr>
        <w:pStyle w:val="GvdeMetni"/>
        <w:bidi/>
        <w:rPr>
          <w:rtl/>
          <w:lang w:val="ar-SA"/>
        </w:rPr>
      </w:pPr>
      <w:r w:rsidRPr="00DB0C22">
        <w:rPr>
          <w:rFonts w:hint="cs"/>
          <w:rtl/>
          <w:lang w:val="ar-SA"/>
        </w:rPr>
        <w:t>وكان هو من كبار العلماء المدرسين المعلمين والقضاة في الدولة العثمانية، فتبحر في العلوم الإسلامية كلها، لاسيما في الفقه وأصوله.</w:t>
      </w:r>
      <w:r w:rsidRPr="00DB0C22">
        <w:rPr>
          <w:vertAlign w:val="superscript"/>
          <w:lang w:val="ar-SA"/>
        </w:rPr>
        <w:footnoteReference w:id="5"/>
      </w:r>
    </w:p>
    <w:p w:rsidR="00DB0C22" w:rsidRPr="00DB0C22" w:rsidRDefault="00DB0C22" w:rsidP="00DB0C22">
      <w:pPr>
        <w:pStyle w:val="GvdeMetni"/>
        <w:bidi/>
        <w:rPr>
          <w:rtl/>
          <w:lang w:val="ar-SA"/>
        </w:rPr>
      </w:pPr>
      <w:r w:rsidRPr="00DB0C22">
        <w:rPr>
          <w:rFonts w:hint="cs"/>
          <w:rtl/>
          <w:lang w:val="ar-SA"/>
        </w:rPr>
        <w:t>ودرّس في عهد  السلطان مراد الثاني خان (855هـ/1451م) بمدينة أدرنه</w:t>
      </w:r>
      <w:r w:rsidRPr="00DB0C22">
        <w:rPr>
          <w:vertAlign w:val="superscript"/>
          <w:lang w:val="ar-SA"/>
        </w:rPr>
        <w:footnoteReference w:id="6"/>
      </w:r>
      <w:r w:rsidRPr="00DB0C22">
        <w:rPr>
          <w:rFonts w:hint="cs"/>
          <w:rtl/>
          <w:lang w:val="ar-SA"/>
        </w:rPr>
        <w:t>، في مدرسة شاه ملك، ودرّس بعد وفاته أخيه في مدرسته المسماة بالمدرسة الحلبية في مدينة أدرنه</w:t>
      </w:r>
      <w:r w:rsidRPr="00DB0C22">
        <w:rPr>
          <w:vertAlign w:val="superscript"/>
          <w:rtl/>
          <w:lang w:val="ar-SA"/>
        </w:rPr>
        <w:footnoteReference w:id="7"/>
      </w:r>
      <w:r w:rsidRPr="00DB0C22">
        <w:rPr>
          <w:rFonts w:hint="cs"/>
          <w:rtl/>
          <w:lang w:val="ar-SA"/>
        </w:rPr>
        <w:t>. تولى القضاء بالعسكر المنصور فيها. وأكرمه السلطان الفاتح محمد خان (886هـ/1481م) رحمه الله إكرامًا عظيمًا في عهده وأسند إليه المناصب العالية، وولَّاه على قضاء إسطنبول مع ضواحي وقضاء غَلَطَة وقضاء أوسكدار بعد وفاة المولى خضر بيك (863هـ/1455م) الذي جعله قاضيا فيها بعد فتح القسطنطنية، وأسند إليه التدريس في مدرسة آياصوفيا. ثم ذهب إلى بورصه، وبنى هناك مدرسة اسمها مدرسة خسرو</w:t>
      </w:r>
      <w:r w:rsidRPr="00DB0C22">
        <w:rPr>
          <w:vertAlign w:val="superscript"/>
          <w:lang w:val="ar-SA"/>
        </w:rPr>
        <w:footnoteReference w:id="8"/>
      </w:r>
      <w:r w:rsidRPr="00DB0C22">
        <w:rPr>
          <w:rFonts w:hint="cs"/>
          <w:rtl/>
          <w:lang w:val="ar-SA"/>
        </w:rPr>
        <w:t>، ودرس فيها برهة من الزمن ثم دعاه السلطان محمد خان إلى إسطنبول وأعطاه منصب الفتوى، وبقي في هذا المنصب حتى وفاته.</w:t>
      </w:r>
      <w:r w:rsidRPr="00DB0C22">
        <w:rPr>
          <w:vertAlign w:val="superscript"/>
          <w:lang w:val="ar-SA"/>
        </w:rPr>
        <w:footnoteReference w:id="9"/>
      </w:r>
    </w:p>
    <w:p w:rsidR="00DB0C22" w:rsidRPr="00DB0C22" w:rsidRDefault="00DB0C22" w:rsidP="00DB0C22">
      <w:pPr>
        <w:pStyle w:val="GvdeMetni"/>
        <w:bidi/>
        <w:rPr>
          <w:rtl/>
          <w:lang w:val="ar-SA"/>
        </w:rPr>
      </w:pPr>
      <w:r w:rsidRPr="00DB0C22">
        <w:rPr>
          <w:rFonts w:hint="cs"/>
          <w:rtl/>
          <w:lang w:val="ar-SA"/>
        </w:rPr>
        <w:t>شيوخه: أخذ العلوم عن مولانا بُرهان الدين حيدر الهروي (830هـ/1423م) المفتي فِي بلاد أدرنه من تلاميذ سعد الدين التفتازاني(792هـ/1387م).</w:t>
      </w:r>
      <w:r w:rsidRPr="00DB0C22">
        <w:rPr>
          <w:vertAlign w:val="superscript"/>
          <w:lang w:val="ar-SA"/>
        </w:rPr>
        <w:footnoteReference w:id="10"/>
      </w:r>
    </w:p>
    <w:p w:rsidR="00DB0C22" w:rsidRPr="00DB0C22" w:rsidRDefault="00DB0C22" w:rsidP="00833F52">
      <w:pPr>
        <w:pStyle w:val="GvdeMetni"/>
        <w:bidi/>
        <w:rPr>
          <w:rtl/>
          <w:lang w:val="ar-SA"/>
        </w:rPr>
      </w:pPr>
      <w:r w:rsidRPr="00DB0C22">
        <w:rPr>
          <w:rFonts w:hint="cs"/>
          <w:rtl/>
          <w:lang w:val="ar-SA"/>
        </w:rPr>
        <w:t xml:space="preserve"> تلاميذه: يوسف بن جنيد (902هـ/1496م)، حسن جلبي بن محمد شاه الفناري (886هـ/1384م)، حسن بن عبد الصمد السامسوني (891هـ/ 1388م)، المولى محيي الدين الشهير بابن مغنيسا (ت.؟)</w:t>
      </w:r>
      <w:r w:rsidRPr="00DB0C22">
        <w:rPr>
          <w:rFonts w:hint="cs"/>
          <w:vertAlign w:val="superscript"/>
          <w:rtl/>
          <w:lang w:val="ar-SA"/>
        </w:rPr>
        <w:t xml:space="preserve"> </w:t>
      </w:r>
      <w:r w:rsidRPr="00DB0C22">
        <w:rPr>
          <w:vertAlign w:val="superscript"/>
          <w:rtl/>
          <w:lang w:val="ar-SA"/>
        </w:rPr>
        <w:footnoteReference w:id="11"/>
      </w:r>
      <w:r w:rsidRPr="00DB0C22">
        <w:rPr>
          <w:rFonts w:hint="cs"/>
          <w:rtl/>
          <w:lang w:val="ar-SA"/>
        </w:rPr>
        <w:t xml:space="preserve">، المولى سنان الدين يوسف المشتهر بسنان الشاعر (891هـ/ 1388م)، علاء الدين علي بن أحمد بن محمد </w:t>
      </w:r>
      <w:r w:rsidRPr="00DB0C22">
        <w:rPr>
          <w:rFonts w:hint="cs"/>
          <w:rtl/>
          <w:lang w:val="ar-SA"/>
        </w:rPr>
        <w:lastRenderedPageBreak/>
        <w:t>الجمالي معروف بشيبي (932هـ/1428م) وغيرهم</w:t>
      </w:r>
      <w:r w:rsidRPr="00DB0C22">
        <w:rPr>
          <w:vertAlign w:val="superscript"/>
          <w:lang w:val="ar-SA"/>
        </w:rPr>
        <w:footnoteReference w:id="12"/>
      </w:r>
      <w:r w:rsidRPr="00DB0C22">
        <w:rPr>
          <w:rFonts w:hint="cs"/>
          <w:rtl/>
          <w:lang w:val="ar-SA"/>
        </w:rPr>
        <w:t>، ومن رفيقه: شيخ الكافيجي (879هـ/1377م)</w:t>
      </w:r>
      <w:r w:rsidRPr="00DB0C22">
        <w:rPr>
          <w:vertAlign w:val="superscript"/>
          <w:lang w:val="ar-SA"/>
        </w:rPr>
        <w:footnoteReference w:id="13"/>
      </w:r>
      <w:r w:rsidRPr="00DB0C22">
        <w:rPr>
          <w:rFonts w:hint="cs"/>
          <w:rtl/>
          <w:lang w:val="ar-SA"/>
        </w:rPr>
        <w:t>، ومن أقرانه ملا الكوراني (893هـ/1390م).</w:t>
      </w:r>
      <w:r w:rsidRPr="00DB0C22">
        <w:rPr>
          <w:vertAlign w:val="superscript"/>
          <w:lang w:val="ar-SA"/>
        </w:rPr>
        <w:footnoteReference w:id="14"/>
      </w:r>
    </w:p>
    <w:p w:rsidR="00DB0C22" w:rsidRPr="00DB0C22" w:rsidRDefault="00DB0C22" w:rsidP="00833F52">
      <w:pPr>
        <w:pStyle w:val="GvdeMetni"/>
        <w:bidi/>
        <w:rPr>
          <w:rtl/>
          <w:lang w:val="ar-SA"/>
        </w:rPr>
      </w:pPr>
      <w:r w:rsidRPr="00DB0C22">
        <w:rPr>
          <w:rFonts w:hint="cs"/>
          <w:rtl/>
          <w:lang w:val="ar-SA"/>
        </w:rPr>
        <w:t>وكان ملا خسرو يكتب ورقتين من كتب السلف كل يوم وكان له خط جميل، وخلف بعد وفاته مؤلفات كثيرة قيمة بخطه، ومنها نسختان من كتاب "شرح المواقف" للسيد الشريف الجرجاني (816هـ/1413م).</w:t>
      </w:r>
      <w:r w:rsidRPr="00DB0C22">
        <w:rPr>
          <w:vertAlign w:val="superscript"/>
          <w:lang w:val="ar-SA"/>
        </w:rPr>
        <w:footnoteReference w:id="15"/>
      </w:r>
    </w:p>
    <w:p w:rsidR="00DB0C22" w:rsidRPr="00CA711E" w:rsidRDefault="00DB0C22" w:rsidP="00CA711E">
      <w:pPr>
        <w:pStyle w:val="GvdeMetni"/>
        <w:bidi/>
        <w:rPr>
          <w:vertAlign w:val="superscript"/>
          <w:rtl/>
        </w:rPr>
      </w:pPr>
      <w:r w:rsidRPr="006D2ABB">
        <w:rPr>
          <w:rFonts w:hint="cs"/>
          <w:rtl/>
        </w:rPr>
        <w:t xml:space="preserve">وكان صاحب أخلاق حميدة وصاحب سكينة ووقار، وكان مشهوراً بالزهد والخشوع والتواضع، وكان يخدم في بيت مطالعته بنفسه مع ما له من العبيد والجواري. ومحبوبًا بين </w:t>
      </w:r>
      <w:r w:rsidRPr="00CA711E">
        <w:rPr>
          <w:rFonts w:hint="cs"/>
          <w:szCs w:val="21"/>
          <w:rtl/>
        </w:rPr>
        <w:t>الناس</w:t>
      </w:r>
      <w:r w:rsidRPr="006D2ABB">
        <w:rPr>
          <w:rFonts w:hint="cs"/>
          <w:rtl/>
        </w:rPr>
        <w:t xml:space="preserve"> فإذا ذهب يوم الجمعة إلى جامع آياصوفيا أحترمه من فِي الجامع كلهم احتراما عظيما، وكان السلطان محمد الفاتح ينظر إليه من مكانه ويفتخر به ويقول لوزرائه: "انظروا إليّ، هذا أبو حنيفة زمانه"</w:t>
      </w:r>
      <w:r w:rsidRPr="00CA711E">
        <w:rPr>
          <w:rStyle w:val="DipnotBavurusu"/>
        </w:rPr>
        <w:footnoteReference w:id="16"/>
      </w:r>
      <w:r w:rsidRPr="006D2ABB">
        <w:rPr>
          <w:rFonts w:hint="cs"/>
          <w:rtl/>
        </w:rPr>
        <w:t>، كان إمامًا بارعًا، مفنِنًا، محققًا، نظارًا طويل الباع، راسخ القدم.</w:t>
      </w:r>
      <w:r w:rsidRPr="00CA711E">
        <w:rPr>
          <w:rStyle w:val="DipnotBavurusu"/>
          <w:sz w:val="22"/>
          <w:szCs w:val="22"/>
        </w:rPr>
        <w:footnoteReference w:id="17"/>
      </w:r>
    </w:p>
    <w:p w:rsidR="00DB0C22" w:rsidRPr="006D2ABB" w:rsidRDefault="00DB0C22" w:rsidP="006D2ABB">
      <w:pPr>
        <w:pStyle w:val="GvdeMetni"/>
        <w:bidi/>
        <w:rPr>
          <w:rtl/>
        </w:rPr>
      </w:pPr>
      <w:r w:rsidRPr="006D2ABB">
        <w:rPr>
          <w:rFonts w:hint="cs"/>
          <w:rtl/>
        </w:rPr>
        <w:t>وفاته: لايدرى تاريخ مولده، توفي بإسطنبول (رحمه الله تعالى) في سنة خمس وثمانين وثمانمائة (885هـ/1480م)، وحمل إلى مدينة بورصه ودفن في فناء مدرسته المعروفة</w:t>
      </w:r>
      <w:r w:rsidRPr="00CA711E">
        <w:rPr>
          <w:rStyle w:val="DipnotBavurusu"/>
          <w:sz w:val="20"/>
          <w:szCs w:val="20"/>
          <w:rtl/>
        </w:rPr>
        <w:footnoteReference w:id="18"/>
      </w:r>
      <w:r w:rsidRPr="006D2ABB">
        <w:rPr>
          <w:rFonts w:hint="cs"/>
          <w:rtl/>
        </w:rPr>
        <w:t>، وتجاوز بعض في مدحه فقال يدل قولهم " مات رئيس العلماء" على تاريخ وفاته 885هـ بواسطة حساب الجمل (الترتيب الأبجدي)</w:t>
      </w:r>
      <w:r w:rsidRPr="00CA711E">
        <w:rPr>
          <w:rStyle w:val="DipnotBavurusu"/>
          <w:sz w:val="22"/>
          <w:szCs w:val="22"/>
          <w:rtl/>
        </w:rPr>
        <w:footnoteReference w:id="19"/>
      </w:r>
      <w:r w:rsidRPr="006D2ABB">
        <w:rPr>
          <w:rFonts w:hint="cs"/>
          <w:rtl/>
        </w:rPr>
        <w:t>، والحق أن الممدوح أعز من أن يمدح بمثله.</w:t>
      </w:r>
    </w:p>
    <w:p w:rsidR="00DB0C22" w:rsidRPr="00DB0C22" w:rsidRDefault="00DB0C22" w:rsidP="00F142A8">
      <w:pPr>
        <w:pStyle w:val="GvdeMetni"/>
        <w:bidi/>
        <w:rPr>
          <w:b/>
          <w:bCs/>
          <w:rtl/>
          <w:lang w:val="ar-SA"/>
        </w:rPr>
      </w:pPr>
      <w:r w:rsidRPr="00DB0C22">
        <w:rPr>
          <w:rFonts w:hint="cs"/>
          <w:b/>
          <w:bCs/>
          <w:rtl/>
          <w:lang w:val="ar-SA"/>
        </w:rPr>
        <w:t>مؤلفاته</w:t>
      </w:r>
    </w:p>
    <w:p w:rsidR="00DB0C22" w:rsidRPr="006D2ABB" w:rsidRDefault="00DB0C22" w:rsidP="006D2ABB">
      <w:pPr>
        <w:pStyle w:val="GvdeMetni"/>
        <w:bidi/>
        <w:rPr>
          <w:rtl/>
        </w:rPr>
      </w:pPr>
      <w:r w:rsidRPr="006D2ABB">
        <w:rPr>
          <w:rFonts w:hint="cs"/>
          <w:rtl/>
        </w:rPr>
        <w:t>(1) مرقاة الوصول إلى علم الأصول: "رسالة في أصول الفقه الحنفي"( إسطنبول 1262هـ).</w:t>
      </w:r>
    </w:p>
    <w:p w:rsidR="00DB0C22" w:rsidRPr="00644BA8" w:rsidRDefault="00DB0C22" w:rsidP="006D2ABB">
      <w:pPr>
        <w:pStyle w:val="GvdeMetni"/>
        <w:bidi/>
        <w:rPr>
          <w:rtl/>
        </w:rPr>
      </w:pPr>
      <w:r w:rsidRPr="00644BA8">
        <w:rPr>
          <w:rFonts w:hint="cs"/>
          <w:rtl/>
        </w:rPr>
        <w:t xml:space="preserve">(2)  مرْآة الأصول فِي شرح مرقاة الوصول: وهو شرح لكتابه "مرقاة الوصول إلى علم الأصول"(إسطنبول 1262، 1296، 1308هـ) وصار مرجعا لطلبة العلم والعلماء من بعده لكونه أجمل كتب أصول الفقه الحنفي، وأبينها وأيسرها فهماً وضبطاً ومنهجاً وتنظيماً. وكتبت عليه حواشي كثيرة، منها: "حاشية مرْآة الأصول لشرح مرقاة الوصول" للطارْسوسي محمد أفندي، (إسطنبول 1267هـ)؛ "حاشية مرْآة الأصول" لعبد الرزاق بن مصطفى الأنطاكي (إسطنبول 1289هـ)؛ "حاشية على مرآة الأصول </w:t>
      </w:r>
      <w:r w:rsidRPr="006D2ABB">
        <w:rPr>
          <w:rFonts w:hint="cs"/>
          <w:rtl/>
        </w:rPr>
        <w:t>لشرح</w:t>
      </w:r>
      <w:r w:rsidRPr="00644BA8">
        <w:rPr>
          <w:rFonts w:hint="cs"/>
          <w:rtl/>
        </w:rPr>
        <w:t xml:space="preserve"> مرقاة الوصول" لحميد بن مصطفى القُنَوي (إسطنبول 1280هـ).</w:t>
      </w:r>
    </w:p>
    <w:p w:rsidR="00DB0C22" w:rsidRPr="006D2ABB" w:rsidRDefault="00DB0C22" w:rsidP="006D2ABB">
      <w:pPr>
        <w:pStyle w:val="GvdeMetni"/>
        <w:bidi/>
        <w:rPr>
          <w:rtl/>
        </w:rPr>
      </w:pPr>
      <w:r w:rsidRPr="006D2ABB">
        <w:rPr>
          <w:rFonts w:hint="cs"/>
          <w:rtl/>
        </w:rPr>
        <w:t>(3) غرر الأحكام في فروع الفقه مختصر(إسطنبول 1257هـ).</w:t>
      </w:r>
    </w:p>
    <w:p w:rsidR="00DB0C22" w:rsidRPr="00644BA8" w:rsidRDefault="00DB0C22" w:rsidP="006D2ABB">
      <w:pPr>
        <w:pStyle w:val="GvdeMetni"/>
        <w:bidi/>
        <w:rPr>
          <w:rtl/>
        </w:rPr>
      </w:pPr>
      <w:r w:rsidRPr="00644BA8">
        <w:rPr>
          <w:rFonts w:hint="cs"/>
          <w:rtl/>
        </w:rPr>
        <w:lastRenderedPageBreak/>
        <w:t>(4) درر الحكام شرح غرر الأحكام: في الفقه وهو شرح لكتاب "غرر الأحكام"(إسطنبول 1310،1289،1258،1257، 1317،1319، 1329 هـ)؛ فاشتهر باسم "غرر ودرر" أو "غرر". ومن حاشيته: "غنية ذوي الأحكام" للشرنبلالي (1069ه/1658م) (إسطنبول 1297هـ)؛ "نقض الدرر" لقاضي محمد وَانِي أفندي (إسطنبول 1314ه).</w:t>
      </w:r>
    </w:p>
    <w:p w:rsidR="00DB0C22" w:rsidRPr="006D2ABB" w:rsidRDefault="00DB0C22" w:rsidP="006D2ABB">
      <w:pPr>
        <w:pStyle w:val="GvdeMetni"/>
        <w:bidi/>
        <w:rPr>
          <w:rtl/>
        </w:rPr>
      </w:pPr>
      <w:r w:rsidRPr="006D2ABB">
        <w:rPr>
          <w:rFonts w:hint="cs"/>
          <w:rtl/>
        </w:rPr>
        <w:t>(5) ترجمة أساس الإقتباس: ترجمة إلى اللغة العربية من لغة فارسية "أساس الإقتباس" في المنطق لناصر الدين الطوسى. (المكتبة  السليمانية: شهيد علي باشا، الرقم الحميدي: 1752).</w:t>
      </w:r>
    </w:p>
    <w:p w:rsidR="00DB0C22" w:rsidRPr="006D2ABB" w:rsidRDefault="00DB0C22" w:rsidP="006D2ABB">
      <w:pPr>
        <w:pStyle w:val="GvdeMetni"/>
        <w:bidi/>
        <w:rPr>
          <w:rtl/>
        </w:rPr>
      </w:pPr>
      <w:r w:rsidRPr="006D2ABB">
        <w:rPr>
          <w:rFonts w:hint="cs"/>
          <w:rtl/>
        </w:rPr>
        <w:t>(6) وصية نامة: باللغة التركية: (المكتبة  السليمانية: لالهلي، الرقم الحميدي: 905/2؛ ومكتبة بايزيد الدولة، الرقم الحميدي: 3248).</w:t>
      </w:r>
    </w:p>
    <w:p w:rsidR="00DB0C22" w:rsidRPr="006D2ABB" w:rsidRDefault="00DB0C22" w:rsidP="006D2ABB">
      <w:pPr>
        <w:pStyle w:val="GvdeMetni"/>
        <w:bidi/>
        <w:rPr>
          <w:rtl/>
        </w:rPr>
      </w:pPr>
      <w:r w:rsidRPr="006D2ABB">
        <w:rPr>
          <w:rFonts w:hint="cs"/>
          <w:rtl/>
        </w:rPr>
        <w:t>(7)  حَاشِيَة على التلويح: في الأصول للتفتازاني (إسطنبول 1284هـ).</w:t>
      </w:r>
    </w:p>
    <w:p w:rsidR="00DB0C22" w:rsidRPr="006D2ABB" w:rsidRDefault="00DB0C22" w:rsidP="006D2ABB">
      <w:pPr>
        <w:pStyle w:val="GvdeMetni"/>
        <w:bidi/>
        <w:rPr>
          <w:rtl/>
        </w:rPr>
      </w:pPr>
      <w:r w:rsidRPr="006D2ABB">
        <w:rPr>
          <w:rFonts w:hint="cs"/>
          <w:rtl/>
        </w:rPr>
        <w:t>(8) حَاشِيَة على المطول فِي المعاني والبيان (مكتبة الملة: فيض الله أفندي، الرقم:1792،1791؛ مكتبة نور عثمانيىة، الرقم الحميدي:4411).</w:t>
      </w:r>
    </w:p>
    <w:p w:rsidR="00DB0C22" w:rsidRPr="006D2ABB" w:rsidRDefault="00DB0C22" w:rsidP="006D2ABB">
      <w:pPr>
        <w:pStyle w:val="GvdeMetni"/>
        <w:bidi/>
        <w:rPr>
          <w:rtl/>
        </w:rPr>
      </w:pPr>
      <w:r w:rsidRPr="006D2ABB">
        <w:rPr>
          <w:rFonts w:hint="cs"/>
          <w:rtl/>
        </w:rPr>
        <w:t>(9) حَاشِيَة على "حَاشِيَة المختصر" للسيد شريف  الجرجاني (حاشية على مقدمة حاشية للسيد شريف على مختصر المنتهى لابن الحاجب) ( المكتبة  السليمانية: جار الله أفندي، الرقم الحميدي: 471؛ حميدية، الرقم الحميدي: 424).</w:t>
      </w:r>
    </w:p>
    <w:p w:rsidR="00DB0C22" w:rsidRPr="006D2ABB" w:rsidRDefault="00DB0C22" w:rsidP="006D2ABB">
      <w:pPr>
        <w:pStyle w:val="GvdeMetni"/>
        <w:bidi/>
        <w:rPr>
          <w:rtl/>
        </w:rPr>
      </w:pPr>
      <w:r w:rsidRPr="006D2ABB">
        <w:rPr>
          <w:rFonts w:hint="cs"/>
          <w:rtl/>
        </w:rPr>
        <w:t xml:space="preserve"> (10) حَاشِيَة على أنوار التنزيل وأسرار التأويل؛ للبيضاوى، من بداية تفسير للبيضاوي إلى سورة البقرة، 2/142، ثم اختتم محمد بن عبد الملك البغدادي (1016هـ/ 1607م) إلى آخر سورة البقرة ( المكتبة السليمانية: يني جامع، الرقم الحميدي:131/3؛ المكتبة الوطنية: فيض الله أفندي، الرقم الحميدي:115،114؛ مكتبة نور عثمانيىة، الرقم الحميدي: 72، 146، 487).</w:t>
      </w:r>
    </w:p>
    <w:p w:rsidR="00DB0C22" w:rsidRPr="006D2ABB" w:rsidRDefault="00DB0C22" w:rsidP="006D2ABB">
      <w:pPr>
        <w:pStyle w:val="GvdeMetni"/>
        <w:bidi/>
        <w:rPr>
          <w:rtl/>
        </w:rPr>
      </w:pPr>
      <w:r w:rsidRPr="006D2ABB">
        <w:rPr>
          <w:rFonts w:hint="cs"/>
          <w:rtl/>
        </w:rPr>
        <w:t>(11)  شرح أصول البزدوي للبزدوي.( مكتبة بايزيد الدولة: ولي الدين أفندي، الرقم الحميدي: 1141).</w:t>
      </w:r>
    </w:p>
    <w:p w:rsidR="00DB0C22" w:rsidRPr="006D2ABB" w:rsidRDefault="00DB0C22" w:rsidP="006D2ABB">
      <w:pPr>
        <w:pStyle w:val="GvdeMetni"/>
        <w:bidi/>
        <w:rPr>
          <w:rtl/>
        </w:rPr>
      </w:pPr>
      <w:r w:rsidRPr="006D2ABB">
        <w:rPr>
          <w:rFonts w:hint="cs"/>
          <w:rtl/>
        </w:rPr>
        <w:t>(12) كلام متعلق بالتسمية في أوائل السور.(مكتبة كوبرولي: أحمد باشا، الرقم الحميدي: 329).</w:t>
      </w:r>
    </w:p>
    <w:p w:rsidR="00DB0C22" w:rsidRPr="006D2ABB" w:rsidRDefault="00DB0C22" w:rsidP="006D2ABB">
      <w:pPr>
        <w:pStyle w:val="GvdeMetni"/>
        <w:bidi/>
        <w:rPr>
          <w:rtl/>
        </w:rPr>
      </w:pPr>
      <w:r w:rsidRPr="006D2ABB">
        <w:rPr>
          <w:rFonts w:hint="cs"/>
          <w:rtl/>
        </w:rPr>
        <w:t>(13) كاشفة شبهات العَلَوية في أنواع شَتى من العلوم.(مكتبة بورسه: حسين جلبي، الرقم الحميدي:115).</w:t>
      </w:r>
    </w:p>
    <w:p w:rsidR="00DB0C22" w:rsidRPr="006D2ABB" w:rsidRDefault="00DB0C22" w:rsidP="006D2ABB">
      <w:pPr>
        <w:pStyle w:val="GvdeMetni"/>
        <w:bidi/>
        <w:rPr>
          <w:rtl/>
        </w:rPr>
      </w:pPr>
      <w:r w:rsidRPr="006D2ABB">
        <w:rPr>
          <w:rFonts w:hint="cs"/>
          <w:rtl/>
        </w:rPr>
        <w:t>(14) نقد الافكار فِي رد الأنظار، ويسمى أيضا أجوبة على أسئلة علاء الدين الرومي. (المكتبة السليمانية: جيرسون، الرقم الحميدي: 92؛ أسعد أفندي، الرقم الحميدي:91/24؛ مكتبة قيسري راشد أفندي: راشد أفندي، الرقم الحميدي:309).</w:t>
      </w:r>
    </w:p>
    <w:p w:rsidR="00DB0C22" w:rsidRPr="006D2ABB" w:rsidRDefault="00DB0C22" w:rsidP="006D2ABB">
      <w:pPr>
        <w:pStyle w:val="GvdeMetni"/>
        <w:bidi/>
        <w:rPr>
          <w:rtl/>
        </w:rPr>
      </w:pPr>
      <w:r w:rsidRPr="006D2ABB">
        <w:rPr>
          <w:rFonts w:hint="cs"/>
          <w:rtl/>
        </w:rPr>
        <w:t>(15) رسالة في الولاء تسمى رسالة في حقوق الرّق، أو رسالة الولاء أو رسالة في بحث مَن تولد من حرة الأصل والعتق. وقد كتب  كثير من العلماء ردية على هذه الرسالة، فمنهم ملا كوراني (893هـ/1488م)، وأحمد كمال باشا زاده (940هـ/1533م).(المكتبة السليمانية: سليمانية، الرقم الحميدي: (1051)؛ شهيد علي باشا، الرقم الحميدي: (2795،2755/4)؛ مكتبة نور عثمانية، الرقم: 596، 1563/2).</w:t>
      </w:r>
    </w:p>
    <w:p w:rsidR="00DB0C22" w:rsidRPr="006D2ABB" w:rsidRDefault="00DB0C22" w:rsidP="006D2ABB">
      <w:pPr>
        <w:pStyle w:val="GvdeMetni"/>
        <w:bidi/>
        <w:rPr>
          <w:rtl/>
        </w:rPr>
      </w:pPr>
      <w:r w:rsidRPr="006D2ABB">
        <w:rPr>
          <w:rFonts w:hint="cs"/>
          <w:rtl/>
        </w:rPr>
        <w:lastRenderedPageBreak/>
        <w:t>(16) رسالة فِي قوله تعالى ﴿لم تَكُنْ آمَنَتْ مِن قَبْلُ﴾.(الأنعام، 6/158) (المكتبة السليمانية: عموجه زادة حسين، الرقم الحميدي: 451)</w:t>
      </w:r>
    </w:p>
    <w:p w:rsidR="00DB0C22" w:rsidRPr="006D2ABB" w:rsidRDefault="00DB0C22" w:rsidP="006D2ABB">
      <w:pPr>
        <w:pStyle w:val="GvdeMetni"/>
        <w:bidi/>
        <w:rPr>
          <w:rtl/>
        </w:rPr>
      </w:pPr>
      <w:r w:rsidRPr="006D2ABB">
        <w:rPr>
          <w:rFonts w:hint="cs"/>
          <w:rtl/>
        </w:rPr>
        <w:t>(17) رسالة معمولة على سورة الأنعام. (مكتبة كوبرولي: فاضل أحمد باشا، الرقم الحميدي: 1602).</w:t>
      </w:r>
    </w:p>
    <w:p w:rsidR="00DB0C22" w:rsidRPr="00644BA8" w:rsidRDefault="00DB0C22" w:rsidP="00644BA8">
      <w:pPr>
        <w:pStyle w:val="GvdeMetni"/>
        <w:bidi/>
        <w:rPr>
          <w:rtl/>
        </w:rPr>
      </w:pPr>
      <w:r w:rsidRPr="00644BA8">
        <w:rPr>
          <w:rFonts w:hint="cs"/>
          <w:rtl/>
        </w:rPr>
        <w:t>(18) رسالة في أسرار الفاتحة. وإلى غير ذلك.</w:t>
      </w:r>
      <w:r w:rsidRPr="00A36501">
        <w:rPr>
          <w:rStyle w:val="DipnotBavurusu"/>
          <w:sz w:val="22"/>
          <w:szCs w:val="22"/>
        </w:rPr>
        <w:footnoteReference w:id="20"/>
      </w:r>
    </w:p>
    <w:p w:rsidR="00DB0C22" w:rsidRPr="00DB0C22" w:rsidRDefault="00DB0C22" w:rsidP="001C45C1">
      <w:pPr>
        <w:pStyle w:val="Balk2"/>
        <w:numPr>
          <w:ilvl w:val="0"/>
          <w:numId w:val="3"/>
        </w:numPr>
        <w:bidi/>
        <w:rPr>
          <w:rtl/>
          <w:lang w:val="ar-SA"/>
        </w:rPr>
      </w:pPr>
      <w:r w:rsidRPr="00DB0C22">
        <w:rPr>
          <w:rFonts w:hint="cs"/>
          <w:rtl/>
          <w:lang w:val="ar-SA"/>
        </w:rPr>
        <w:t>خصائص الرسالة</w:t>
      </w:r>
    </w:p>
    <w:p w:rsidR="00DB0C22" w:rsidRPr="00644BA8" w:rsidRDefault="00DB0C22" w:rsidP="006D2ABB">
      <w:pPr>
        <w:pStyle w:val="GvdeMetni"/>
        <w:bidi/>
        <w:rPr>
          <w:rtl/>
        </w:rPr>
      </w:pPr>
      <w:r w:rsidRPr="00644BA8">
        <w:rPr>
          <w:rFonts w:hint="cs"/>
          <w:rtl/>
        </w:rPr>
        <w:t xml:space="preserve">(1) هذه رسالة من الرسائل التي أُلِّفَت في تفسير سورة الفاتحة تفسيراً إشارياً كما يدل على ذلك اسم الرسالة "رسالة في أسرار الفاتحة" ولفظ الاشارة الذي ذكره عند تفسير الآيات، وإذا أنعمنا النظر فيها نجدها أنها من الرسائل القيمة. ألفها من له حظ عظيم من </w:t>
      </w:r>
      <w:r w:rsidRPr="006D2ABB">
        <w:rPr>
          <w:rFonts w:hint="cs"/>
          <w:rtl/>
        </w:rPr>
        <w:t>أوصاف</w:t>
      </w:r>
      <w:r w:rsidRPr="00644BA8">
        <w:rPr>
          <w:rFonts w:hint="cs"/>
          <w:rtl/>
        </w:rPr>
        <w:t xml:space="preserve"> النبي الذي أوتي جوامع الكلم (صلى الله عليه وسلم) ومن له دراية وكفاية في العلوم كلها ومن بينها علم الموهبة، إلا أنها من التفسير الإشاري الذي لم تتوافر فيه شروط القبول من تفسير الآية أولاً بما تقتضيه الرواية والدراية، ثم بما يستمد من الإلهام كما فعل ذلك قبله نظام الدين الحسن بن محمد بن حسين النيسابوري (730هـ/1329م)  في كتابه تفسير النيسابورى "غرائب القرآن ورغائب الفرقان"، وكما فعل ذلك أيضا بعده محمود شهاب الدين أبو الثناء الحسيني الألوسي (1270هـ/1853م) في كتابه "روح المعاني"، لكن نلتمس له عذرًا فنقول: لعله اكتفى بالتفسير الإشاري اعتماداً على ما اشتهر علي ألسنة الناس من  المعاني التي تسمد من الرواية والدراية، أو أنه بَرَّأَ ذمته بتعليقه على المعنى الإشاري الذي يخالف المعني الظاهر وما أجمعت عليه الأمة، والخطب يسير.</w:t>
      </w:r>
    </w:p>
    <w:p w:rsidR="00DB0C22" w:rsidRPr="00CA711E" w:rsidRDefault="00DB0C22" w:rsidP="00CA711E">
      <w:pPr>
        <w:pStyle w:val="GvdeMetni"/>
        <w:bidi/>
        <w:rPr>
          <w:rtl/>
        </w:rPr>
      </w:pPr>
      <w:r w:rsidRPr="00CA711E">
        <w:rPr>
          <w:rFonts w:hint="cs"/>
          <w:rtl/>
        </w:rPr>
        <w:t>(2) بدأ ملا خسرو تفسيره بالبسملة، ثم طلب الاستعانة والعون من الله سبحانه وتعالى، ثم حمد الله امتثالاً لقوله (صلى الله عليه وسلم): "كل أمر ذي بال لا يبدأ بحمد الله فهو أقطع"</w:t>
      </w:r>
      <w:r w:rsidRPr="00A36501">
        <w:rPr>
          <w:rStyle w:val="DipnotBavurusu"/>
          <w:sz w:val="22"/>
          <w:szCs w:val="22"/>
        </w:rPr>
        <w:footnoteReference w:id="21"/>
      </w:r>
      <w:r w:rsidRPr="00CA711E">
        <w:rPr>
          <w:rFonts w:hint="cs"/>
          <w:rtl/>
        </w:rPr>
        <w:t>، وأثنى على نبينا محمد (صلى الله عليه وسلم)، وعلى آله وأصحابه.</w:t>
      </w:r>
    </w:p>
    <w:p w:rsidR="00DB0C22" w:rsidRPr="00DB0C22" w:rsidRDefault="00DB0C22" w:rsidP="00644BA8">
      <w:pPr>
        <w:pStyle w:val="GvdeMetni"/>
        <w:bidi/>
        <w:rPr>
          <w:rtl/>
          <w:lang w:val="ar-SA"/>
        </w:rPr>
      </w:pPr>
      <w:r w:rsidRPr="00DB0C22">
        <w:rPr>
          <w:rFonts w:hint="cs"/>
          <w:rtl/>
          <w:lang w:val="ar-SA"/>
        </w:rPr>
        <w:t xml:space="preserve">(3) ونهج منهج و عقيدة أهل السنة والجماعة فمثلاً تطرق إلي رؤية الله بعين الجارحة في </w:t>
      </w:r>
      <w:r w:rsidRPr="00644BA8">
        <w:rPr>
          <w:rFonts w:hint="cs"/>
          <w:szCs w:val="21"/>
          <w:rtl/>
        </w:rPr>
        <w:t>الدنيا</w:t>
      </w:r>
      <w:r w:rsidRPr="00DB0C22">
        <w:rPr>
          <w:rFonts w:hint="cs"/>
          <w:rtl/>
          <w:lang w:val="ar-SA"/>
        </w:rPr>
        <w:t>، فبين رأي أهل السنة والجماعة، ورجح عدم إمكانية رؤية الله في الدنيا بعين جارحة، وهو ما عليه أهل السنة والجماعة.</w:t>
      </w:r>
    </w:p>
    <w:p w:rsidR="00DB0C22" w:rsidRPr="00CA711E" w:rsidRDefault="00DB0C22" w:rsidP="00CA711E">
      <w:pPr>
        <w:pStyle w:val="GvdeMetni"/>
        <w:bidi/>
        <w:rPr>
          <w:rtl/>
        </w:rPr>
      </w:pPr>
      <w:r w:rsidRPr="00CA711E">
        <w:rPr>
          <w:rFonts w:hint="cs"/>
          <w:rtl/>
        </w:rPr>
        <w:t xml:space="preserve">(4) وذكر ما يفهم من الآية ثم استدل عليه بالآية، وهذا على خلاف ما اعتاده المفسرون، فإنهم يذكرون الآية ثم يفسرونها، واستدل ببعض الأحاديث على ما فهمه أيضا، إلا أنه غالباً  ذكر الأحاديث بالمعنى وليست بالألفاظ التي ذكرت في السنن. ولعل هذا  بناء على جواز رواية وذكر الأحاديث بالمعنى، وذكر بعض الروايات على أنها أحاديث وهي ليست كذلك كما في "المخلصون على خطر عظيم"، وأنه </w:t>
      </w:r>
      <w:r w:rsidRPr="00CA711E">
        <w:rPr>
          <w:rFonts w:hint="cs"/>
          <w:rtl/>
        </w:rPr>
        <w:lastRenderedPageBreak/>
        <w:t>شرح الكلمات التي  فيها غموض كما شرح كلمة "قفى" أي عقب، وذكر بعض أقوال الصوفية، ورأيه منها، وأحياناً ذكر أقوالاً وسكت عنها؛ والذي سكت عنها لم يكن له الأهمية البالغة.</w:t>
      </w:r>
    </w:p>
    <w:p w:rsidR="00DB0C22" w:rsidRPr="00DB0C22" w:rsidRDefault="00DB0C22" w:rsidP="001C45C1">
      <w:pPr>
        <w:pStyle w:val="Balk2"/>
        <w:numPr>
          <w:ilvl w:val="0"/>
          <w:numId w:val="3"/>
        </w:numPr>
        <w:bidi/>
        <w:rPr>
          <w:rtl/>
          <w:lang w:val="ar-SA"/>
        </w:rPr>
      </w:pPr>
      <w:r w:rsidRPr="00DB0C22">
        <w:rPr>
          <w:rFonts w:hint="cs"/>
          <w:rtl/>
          <w:lang w:val="ar-SA"/>
        </w:rPr>
        <w:t>توثيق نسبة الرسالة  لمؤلفها</w:t>
      </w:r>
    </w:p>
    <w:p w:rsidR="00DB0C22" w:rsidRPr="00CA711E" w:rsidRDefault="00DB0C22" w:rsidP="00CA711E">
      <w:pPr>
        <w:pStyle w:val="GvdeMetni"/>
        <w:bidi/>
        <w:rPr>
          <w:rtl/>
        </w:rPr>
      </w:pPr>
      <w:r w:rsidRPr="00CA711E">
        <w:rPr>
          <w:rFonts w:hint="cs"/>
          <w:rtl/>
        </w:rPr>
        <w:t xml:space="preserve">هذه الرسالة صحيحة النسبة إلى الإمام العلامة الملا خسرو، وذلك لأنه قد قيدها ونسبها مستنسخا الرسالة إلى الملا خسرو بعبارة صريحة "هذه رسالة في أسرار الفاتحة لمولانا خسرو رحمة الله عليه"، وقد جاء في فهارس المكتبات كمكتبة بايزيد، وقيليج علي باشا ومركز البحث العلمي وإحياء التراث الإسلامي، وفي </w:t>
      </w:r>
      <w:r w:rsidRPr="00CA711E">
        <w:t>Supplementband</w:t>
      </w:r>
      <w:r w:rsidRPr="00CA711E">
        <w:rPr>
          <w:rFonts w:hint="cs"/>
          <w:rtl/>
        </w:rPr>
        <w:t xml:space="preserve"> لبروكلمان بأن "هذه رسالة في أسرار الفاتحة" منسوبا إلى ملا خسرو.</w:t>
      </w:r>
      <w:r w:rsidRPr="000A01DB">
        <w:rPr>
          <w:rStyle w:val="DipnotBavurusu"/>
          <w:sz w:val="22"/>
          <w:szCs w:val="22"/>
        </w:rPr>
        <w:footnoteReference w:id="22"/>
      </w:r>
    </w:p>
    <w:p w:rsidR="00DB0C22" w:rsidRPr="00DB0C22" w:rsidRDefault="00DB0C22" w:rsidP="00F142A8">
      <w:pPr>
        <w:pStyle w:val="Balk1"/>
        <w:bidi/>
        <w:rPr>
          <w:rtl/>
          <w:lang w:val="ar-SA"/>
        </w:rPr>
      </w:pPr>
      <w:r w:rsidRPr="00DB0C22">
        <w:rPr>
          <w:rFonts w:hint="cs"/>
          <w:rtl/>
          <w:lang w:val="ar-SA"/>
        </w:rPr>
        <w:t xml:space="preserve">نُسخ </w:t>
      </w:r>
      <w:r w:rsidRPr="00F142A8">
        <w:rPr>
          <w:rFonts w:hint="cs"/>
          <w:szCs w:val="22"/>
          <w:rtl/>
        </w:rPr>
        <w:t>الرسالة</w:t>
      </w:r>
      <w:r w:rsidRPr="00DB0C22">
        <w:rPr>
          <w:rFonts w:hint="cs"/>
          <w:rtl/>
          <w:lang w:val="ar-SA"/>
        </w:rPr>
        <w:t xml:space="preserve">    </w:t>
      </w:r>
    </w:p>
    <w:p w:rsidR="00DB0C22" w:rsidRPr="00CA711E" w:rsidRDefault="00DB0C22" w:rsidP="00CA711E">
      <w:pPr>
        <w:pStyle w:val="GvdeMetni"/>
        <w:bidi/>
        <w:rPr>
          <w:rFonts w:eastAsia="Geeza Pro Bold"/>
          <w:rtl/>
        </w:rPr>
      </w:pPr>
      <w:r w:rsidRPr="00CA711E">
        <w:rPr>
          <w:rFonts w:hint="cs"/>
          <w:rtl/>
        </w:rPr>
        <w:t>أما نسخ الرسالة فقمت بالبحث والتدقيق في المكتبات والفهارس فوجدت أن لها ثلاث نسخ، نسختين في مكتبات تركيا ونسخة في مكتبة مركز البحث العلمي وإحياء التراث الإسلامي بمكة المكرمة - المملكة العربية السعودية، تحت رقم: 16. إلا أنني لم أتمكن إلا تصوير نسختي مكتبات تركيا، ذلك لكون نسخة مكة المكرمة مفقودة. فتبين لنا هذا بعد أن استعنا برئيس قسم التفسير وعلوم القرآن- كلية التربية- جامعة جدة وحصلنا على تقرير منه بتاريخ  24 - مارس- 2016م، مفاده فقدان النسخة.</w:t>
      </w:r>
      <w:r w:rsidRPr="009B097D">
        <w:rPr>
          <w:rStyle w:val="DipnotBavurusu"/>
          <w:sz w:val="22"/>
          <w:szCs w:val="22"/>
        </w:rPr>
        <w:footnoteReference w:id="23"/>
      </w:r>
      <w:r w:rsidRPr="00CA711E">
        <w:rPr>
          <w:rFonts w:hint="cs"/>
          <w:rtl/>
        </w:rPr>
        <w:t xml:space="preserve"> أما بيانات  النسختين فعلى النحو التالي:</w:t>
      </w:r>
    </w:p>
    <w:p w:rsidR="00DB0C22" w:rsidRPr="00CA711E" w:rsidRDefault="00DB0C22" w:rsidP="00CA711E">
      <w:pPr>
        <w:pStyle w:val="GvdeMetni"/>
        <w:bidi/>
        <w:rPr>
          <w:rtl/>
        </w:rPr>
      </w:pPr>
      <w:r w:rsidRPr="00CA711E">
        <w:rPr>
          <w:rFonts w:hint="cs"/>
          <w:rtl/>
        </w:rPr>
        <w:t>الأولى: نسخة بايزيد في مكتبة بايزيد- إسطنبول- تركيا، تحت رقم: 5999، ضمن مجموعة من الرسائل التي يبلغ عددها اثنتان وخمسون رسالة وهي الثامنة. وتاريخ كتابتها: 1081</w:t>
      </w:r>
      <w:r w:rsidRPr="00CA711E">
        <w:rPr>
          <w:rFonts w:ascii="Times New Roman" w:hAnsi="Times New Roman" w:cs="Times New Roman" w:hint="cs"/>
          <w:rtl/>
        </w:rPr>
        <w:t>ﻫ</w:t>
      </w:r>
      <w:r w:rsidRPr="00CA711E">
        <w:rPr>
          <w:rFonts w:hint="cs"/>
          <w:rtl/>
        </w:rPr>
        <w:t>ـ، وعدد أوراقها: 15ظـ - 16ظ. وعدد لوحات المجموعة: 250. كتبها بيجاقجي عبد الباقي ابراهيم آغا زادة. وعدد السطور في كل لوحة: 21. وقد كتبت الآيات والعنوان ولفظ "وبعد" فيها بالحمرة وسائر الكلام بالحبر الأسود. وقد رمزت لها بالحرف (ب) في الـهامش نسبة إلى مكتبة بايزيد؛ وهي نسخة الأصل لسبب مستنسخها هو مقتدر على الموضوع والتفسير الإشاري، وأن يشرح الجمل أو الألفاظ إن كان ثمة احتياج ، وكتب المستنسخ قيد التاريخ والإسم في نهاية الرسالة ليست في نهاية المجموعة فقط، إذ لا يمكننا أن نرى هذ الوصف المهم في نسخة (ق).</w:t>
      </w:r>
    </w:p>
    <w:p w:rsidR="00DB0C22" w:rsidRPr="00CA711E" w:rsidRDefault="00DB0C22" w:rsidP="00CA711E">
      <w:pPr>
        <w:pStyle w:val="GvdeMetni"/>
        <w:bidi/>
        <w:rPr>
          <w:rtl/>
        </w:rPr>
      </w:pPr>
      <w:r w:rsidRPr="00CA711E">
        <w:rPr>
          <w:rFonts w:hint="cs"/>
          <w:rtl/>
        </w:rPr>
        <w:t>والثانية: نسخة قيليج علي باشا في مكتبة  قيليح علي باشا في حوضة  مكتبة  سليمانية - إسطنبول - تركيا.  تحت رقم: 1028، ضمن مجموعة من الرسائل  التي يبلغ عددها أربع  وستون رسالة وهي التاسع والأربعون. وتاريخ كتابتها: (987هـ) وعدد أوراقها: 279و ـــــ280و. كتبها مصطفى بن خضر الأماسي الحنفي. وعدد لوحات المجموعة: 337 و. وعدد السطور في كل لوحة: 21. وقد كتبت الآيات وعنوان وكلام "وبعد" فيها بالحمرة وسائر الكلام بالحبر الأسود، وقد رمزت لها بالحرف (ق) في الـهامش نسبة إلى قسمها قيليج علي باشا.</w:t>
      </w:r>
    </w:p>
    <w:p w:rsidR="00DB0C22" w:rsidRPr="00DB0C22" w:rsidRDefault="00DB0C22" w:rsidP="001C45C1">
      <w:pPr>
        <w:pStyle w:val="Balk1"/>
        <w:numPr>
          <w:ilvl w:val="0"/>
          <w:numId w:val="3"/>
        </w:numPr>
        <w:bidi/>
        <w:rPr>
          <w:rtl/>
          <w:lang w:val="ar-SA"/>
        </w:rPr>
      </w:pPr>
      <w:r w:rsidRPr="00DB0C22">
        <w:rPr>
          <w:rFonts w:hint="cs"/>
          <w:rtl/>
          <w:lang w:val="ar-SA"/>
        </w:rPr>
        <w:lastRenderedPageBreak/>
        <w:t xml:space="preserve">منهج التحقيق   </w:t>
      </w:r>
    </w:p>
    <w:p w:rsidR="00DB0C22" w:rsidRPr="00DB0C22" w:rsidRDefault="00DB0C22" w:rsidP="00F142A8">
      <w:pPr>
        <w:pStyle w:val="GvdeMetni"/>
        <w:bidi/>
        <w:rPr>
          <w:rtl/>
          <w:lang w:val="ar-SA"/>
        </w:rPr>
      </w:pPr>
      <w:r w:rsidRPr="00DB0C22">
        <w:rPr>
          <w:rFonts w:hint="cs"/>
          <w:rtl/>
          <w:lang w:val="ar-SA"/>
        </w:rPr>
        <w:t>قمت بتصوير النسختين اللتين اعتمدت عليهما في تحقيق الرسالة في أسرار الفاتحة حتى يسهل الاطلاع عليهما. ثم قمت بمقابلتهما ورمزت لكل منهما بحرف، ثم جعلت النص الذي نراه صواباً ومختاراً في  المتن، والنص الذي نراه خطأ أو غير لائق في الهامش، حتى أترك فرصة للقارئ أن يتدبر كل ما كتب في النسختين، والتزمت الأصل في تحقيق المخطوطات فلم أتدخل بالنص إلا عند الضرورة، فإذا كان المصنف قد ذكر ما فيه الكفاية (وهذا هو الغالب في هذا المخطوط) أكتفي به لإخراج نص الرسالة على أقرب صورة وضعها المؤلف.</w:t>
      </w:r>
    </w:p>
    <w:p w:rsidR="00DB0C22" w:rsidRPr="00DB0C22" w:rsidRDefault="00DB0C22" w:rsidP="00F142A8">
      <w:pPr>
        <w:pStyle w:val="GvdeMetni"/>
        <w:bidi/>
        <w:rPr>
          <w:rtl/>
          <w:lang w:val="ar-SA"/>
        </w:rPr>
      </w:pPr>
      <w:r w:rsidRPr="00DB0C22">
        <w:rPr>
          <w:rFonts w:hint="cs"/>
          <w:rtl/>
          <w:lang w:val="ar-SA"/>
        </w:rPr>
        <w:t>وأيضاً قمت بكتابة  كلمات الآيات عند الإيضاح والبيان بخط نسخ سميك، وعزو الآيات إلى سورها، وذكر أرقامها في تلك السور، وضع الآيات بين مُزهرين ﴿﴾، وتخريج الأحاديث والآثار التي وردت في الرسالة مشيراً إلى مصادرها ومواضعها في الهامش، ووضع الأحاديث النبوية بين علامتي التنصيص هكذا «...». وإكمال الأحاديث إن اقتضى الأمر ذلك.</w:t>
      </w:r>
    </w:p>
    <w:p w:rsidR="00DB0C22" w:rsidRPr="00DB0C22" w:rsidRDefault="00DB0C22" w:rsidP="00F142A8">
      <w:pPr>
        <w:pStyle w:val="GvdeMetni"/>
        <w:bidi/>
        <w:rPr>
          <w:rtl/>
          <w:lang w:val="ar-SA"/>
        </w:rPr>
      </w:pPr>
      <w:r w:rsidRPr="00DB0C22">
        <w:rPr>
          <w:rFonts w:hint="cs"/>
          <w:rtl/>
          <w:lang w:val="ar-SA"/>
        </w:rPr>
        <w:t>وقمت أيضاًبترتيب الرسالة من حيث الإملاء  والتفقير، وبيان بحور الشعر الواردة فيها، وشرح بعض المفردات اللغوية والاصطلاحية شرحًا موجزًا إن احتاج الأمر إلى ذلك.</w:t>
      </w:r>
    </w:p>
    <w:p w:rsidR="00DB0C22" w:rsidRPr="00DB0C22" w:rsidRDefault="00DB0C22" w:rsidP="00F142A8">
      <w:pPr>
        <w:pStyle w:val="GvdeMetni"/>
        <w:bidi/>
        <w:rPr>
          <w:rtl/>
          <w:lang w:val="ar-SA"/>
        </w:rPr>
      </w:pPr>
      <w:r w:rsidRPr="00DB0C22">
        <w:rPr>
          <w:rtl/>
          <w:lang w:val="ar-SA"/>
        </w:rPr>
        <w:t xml:space="preserve">وأيضاً قمت بحل الرموز المستخدمة في النسختين وكتابة ما رمز إليه صراحة إلا أنني لم أشر إلى ذلك في الهامش، فمثلا استخدم رمز "تع" فكتبت ما يدل عليه أو ما يقصد به وهو: تعالى واستخدم رمز "صلم" أو "صلعم"  فكتبت ما يدل عليه وهو: (صلى الله عليه وسلم) " وكذلك استخدم رمز "ع م " أو "عم" فكتبت ما يدل عليه وهو: عليه الصلاة والسلام، واستخدم رمز "ع" فكتبت ما يدل عليه صراحة  وهو: عز.     </w:t>
      </w:r>
    </w:p>
    <w:p w:rsidR="00DB0C22" w:rsidRPr="00DB0C22" w:rsidRDefault="00DB0C22" w:rsidP="00F142A8">
      <w:pPr>
        <w:pStyle w:val="GvdeMetni"/>
        <w:bidi/>
        <w:rPr>
          <w:rtl/>
          <w:lang w:val="ar-SA"/>
        </w:rPr>
      </w:pPr>
      <w:r w:rsidRPr="00DB0C22">
        <w:rPr>
          <w:rtl/>
          <w:lang w:val="ar-SA"/>
        </w:rPr>
        <w:t>وقمت أيضاً بإبدال ما كتب من غير القرآن بطريقة تخالف الخط الإملائي إلى ما يوافقه و بعبارة أخرى قمت بتبديل  الخط الإملائي مكان ما كتب بطريقة تخالفه، أما الآيات فالتزمت في كتابتها بالرسم العثماني والخط المصحفي، إلا أنني لم أ</w:t>
      </w:r>
      <w:r w:rsidR="004874A1">
        <w:rPr>
          <w:rtl/>
          <w:lang w:val="ar-SA"/>
        </w:rPr>
        <w:t>شر إلى ذلك، فمثلا</w:t>
      </w:r>
      <w:r w:rsidRPr="00DB0C22">
        <w:rPr>
          <w:rtl/>
          <w:lang w:val="ar-SA"/>
        </w:rPr>
        <w:t xml:space="preserve"> استبدلت "مالك"ب"ملك" و"التوراة" ب"التورية" و  "المبدأ"  ب"المبداء" و "يلائم" ب "يلايم" و "مبدأ " ب "مبداء" و "دقائقها"  ب "دقايقها" و "اللائقة ب"اللايقة" و"فائضة" ب"فايضة" و"جلائيل" ب"جلاييل" و"الثلاثة" ب "الثلثة" و"الأربعاء" ب"الأربعا". و "ألاّ" ب " أن لا".</w:t>
      </w:r>
    </w:p>
    <w:p w:rsidR="00DB0C22" w:rsidRPr="00DB0C22" w:rsidRDefault="00DB0C22" w:rsidP="00F142A8">
      <w:pPr>
        <w:pStyle w:val="GvdeMetni"/>
        <w:bidi/>
        <w:rPr>
          <w:rtl/>
          <w:lang w:val="ar-SA"/>
        </w:rPr>
      </w:pPr>
      <w:r w:rsidRPr="00DB0C22">
        <w:rPr>
          <w:rFonts w:hint="cs"/>
          <w:rtl/>
          <w:lang w:val="ar-SA"/>
        </w:rPr>
        <w:t xml:space="preserve">وأيضاً قمت بذكر المراجع والمصادر وأسماء المؤلفين في الهامش، إلا أنني  ذكرت المراجع مختصرة واكتفيت في أسماء المؤلفين بأسمائهم المشهورة. </w:t>
      </w:r>
    </w:p>
    <w:p w:rsidR="00DB0C22" w:rsidRPr="00DB0C22" w:rsidRDefault="00DB0C22" w:rsidP="001C45C1">
      <w:pPr>
        <w:pStyle w:val="Balk1"/>
        <w:numPr>
          <w:ilvl w:val="0"/>
          <w:numId w:val="2"/>
        </w:numPr>
        <w:bidi/>
        <w:rPr>
          <w:rtl/>
          <w:lang w:val="ar-SA"/>
        </w:rPr>
      </w:pPr>
      <w:r w:rsidRPr="00DB0C22">
        <w:rPr>
          <w:rFonts w:hint="cs"/>
          <w:rtl/>
          <w:lang w:val="ar-SA"/>
        </w:rPr>
        <w:t>المبحث</w:t>
      </w:r>
    </w:p>
    <w:p w:rsidR="00DB0C22" w:rsidRPr="00DB0C22" w:rsidRDefault="00DB0C22" w:rsidP="00114263">
      <w:pPr>
        <w:pStyle w:val="Balk2"/>
        <w:bidi/>
        <w:rPr>
          <w:rtl/>
          <w:lang w:val="ar-SA"/>
        </w:rPr>
      </w:pPr>
      <w:r w:rsidRPr="00DB0C22">
        <w:rPr>
          <w:rFonts w:hint="cs"/>
          <w:rtl/>
          <w:lang w:val="ar-SA"/>
        </w:rPr>
        <w:t>هذه رسالة في أسرار الفاتحة</w:t>
      </w:r>
    </w:p>
    <w:p w:rsidR="00DB0C22" w:rsidRPr="00DB0C22" w:rsidRDefault="00DB0C22" w:rsidP="00114263">
      <w:pPr>
        <w:pStyle w:val="GvdeMetni"/>
        <w:bidi/>
        <w:rPr>
          <w:rtl/>
          <w:lang w:val="ar-SA"/>
        </w:rPr>
      </w:pPr>
      <w:r w:rsidRPr="00DB0C22">
        <w:rPr>
          <w:rFonts w:hint="cs"/>
          <w:b/>
          <w:bCs/>
          <w:rtl/>
          <w:lang w:val="ar-SA"/>
        </w:rPr>
        <w:t>لمحمد بن فَرامُرْز ابن علي الرومي الحنفي(؟-885هـ/؟-1480م)</w:t>
      </w:r>
    </w:p>
    <w:p w:rsidR="00DB0C22" w:rsidRPr="00DB0C22" w:rsidRDefault="00DB0C22" w:rsidP="00114263">
      <w:pPr>
        <w:pStyle w:val="GvdeMetni"/>
        <w:bidi/>
        <w:rPr>
          <w:rtl/>
          <w:lang w:val="ar-SA"/>
        </w:rPr>
      </w:pPr>
      <w:r w:rsidRPr="00DB0C22">
        <w:rPr>
          <w:rFonts w:hint="cs"/>
          <w:rtl/>
          <w:lang w:val="ar-SA"/>
        </w:rPr>
        <w:t>[سورة الفاتحة]</w:t>
      </w:r>
    </w:p>
    <w:p w:rsidR="00DB0C22" w:rsidRPr="00DB0C22" w:rsidRDefault="00DB0C22" w:rsidP="00114263">
      <w:pPr>
        <w:pStyle w:val="GvdeMetni"/>
        <w:bidi/>
        <w:rPr>
          <w:rtl/>
          <w:lang w:val="ar-SA"/>
        </w:rPr>
      </w:pPr>
      <w:r w:rsidRPr="00DB0C22">
        <w:rPr>
          <w:rFonts w:hint="cs"/>
          <w:rtl/>
          <w:lang w:val="ar-SA"/>
        </w:rPr>
        <w:lastRenderedPageBreak/>
        <w:t>[﴿بِسْمِ اللَّهِ الرَّحْمٰنِ الرَّحِيمِ﴾ [1] ﴿الْحَمْدُ لِلَّهِ رَبِّ الْعٰلَمِينَ﴾ [2] ﴿الرَّحْمٰنِ الرَّحِيمِ﴾ [3] ﴿مٰلِكِ يَوْمِ الدِّينِ﴾ [4] ﴿إِيَّاكَ نَعْبُدُ وَإِيَّاكَ نَسْتَعِينُ﴾ [5] ﴿اهْدِنَا الصِّرٰطَ الْمُسْتَقِيمَ﴾ [6] ﴿صِرٰطَ الَّذِينَ أَنْعَمْتَ عَلَيْهِمْ غَيْرِ الْمَغْضُوبِ عَلَيْهِمْ وَلَا الضَّالِّينَ﴾ [7]]</w:t>
      </w:r>
    </w:p>
    <w:p w:rsidR="00DB0C22" w:rsidRPr="00DB0C22" w:rsidRDefault="00DB0C22" w:rsidP="00DB0C22">
      <w:pPr>
        <w:pStyle w:val="GvdeMetni"/>
        <w:rPr>
          <w:rtl/>
          <w:lang w:val="ar-SA"/>
        </w:rPr>
      </w:pPr>
    </w:p>
    <w:p w:rsidR="00DB0C22" w:rsidRPr="00DB0C22" w:rsidRDefault="00DB0C22" w:rsidP="00114263">
      <w:pPr>
        <w:pStyle w:val="GvdeMetni"/>
        <w:bidi/>
        <w:rPr>
          <w:rtl/>
          <w:lang w:val="ar-SA"/>
        </w:rPr>
      </w:pPr>
      <w:r w:rsidRPr="00DB0C22">
        <w:rPr>
          <w:rFonts w:hint="cs"/>
          <w:rtl/>
          <w:lang w:val="ar-SA"/>
        </w:rPr>
        <w:t xml:space="preserve">هذه رسالة في أسرار الفاتحة لمولانا خُسروْ رحمة الله عليه  </w:t>
      </w:r>
    </w:p>
    <w:p w:rsidR="00DB0C22" w:rsidRPr="00DB0C22" w:rsidRDefault="00DB0C22" w:rsidP="00114263">
      <w:pPr>
        <w:pStyle w:val="GvdeMetni"/>
        <w:bidi/>
        <w:rPr>
          <w:rtl/>
          <w:lang w:val="ar-SA"/>
        </w:rPr>
      </w:pPr>
      <w:r w:rsidRPr="00DB0C22">
        <w:rPr>
          <w:rFonts w:hint="cs"/>
          <w:rtl/>
          <w:lang w:val="ar-SA"/>
        </w:rPr>
        <w:t xml:space="preserve">بسم الله الرحمن الرحيم وبه نستعين </w:t>
      </w:r>
    </w:p>
    <w:p w:rsidR="00DB0C22" w:rsidRPr="00DB0C22" w:rsidRDefault="00DB0C22" w:rsidP="00114263">
      <w:pPr>
        <w:pStyle w:val="GvdeMetni"/>
        <w:bidi/>
        <w:rPr>
          <w:rtl/>
          <w:lang w:val="ar-SA"/>
        </w:rPr>
      </w:pPr>
      <w:r w:rsidRPr="00DB0C22">
        <w:rPr>
          <w:rFonts w:hint="cs"/>
          <w:rtl/>
          <w:lang w:val="ar-SA"/>
        </w:rPr>
        <w:t>الحمد لله رب العالمين، والصلاة والسلام على سيدنا محمد</w:t>
      </w:r>
      <w:r w:rsidR="00716F72">
        <w:rPr>
          <w:rFonts w:cs="Minion Pro" w:hint="cs"/>
          <w:szCs w:val="21"/>
          <w:rtl/>
          <w:lang w:val="ar-SA"/>
        </w:rPr>
        <w:t xml:space="preserve"> </w:t>
      </w:r>
      <w:r w:rsidRPr="00DB0C22">
        <w:rPr>
          <w:vertAlign w:val="superscript"/>
          <w:lang w:val="ar-SA"/>
        </w:rPr>
        <w:footnoteReference w:id="24"/>
      </w:r>
      <w:r w:rsidRPr="00DB0C22">
        <w:rPr>
          <w:rFonts w:hint="cs"/>
          <w:rtl/>
          <w:lang w:val="ar-SA"/>
        </w:rPr>
        <w:t xml:space="preserve">وآله وصحبه أجمعين. </w:t>
      </w:r>
    </w:p>
    <w:p w:rsidR="00DB0C22" w:rsidRPr="00CA711E" w:rsidRDefault="00DB0C22" w:rsidP="00CA711E">
      <w:pPr>
        <w:pStyle w:val="GvdeMetni"/>
        <w:bidi/>
        <w:rPr>
          <w:rtl/>
        </w:rPr>
      </w:pPr>
      <w:r w:rsidRPr="00CA711E">
        <w:rPr>
          <w:rFonts w:hint="cs"/>
          <w:rtl/>
        </w:rPr>
        <w:t>أمّا بعد</w:t>
      </w:r>
      <w:r w:rsidRPr="004874A1">
        <w:rPr>
          <w:vertAlign w:val="superscript"/>
        </w:rPr>
        <w:footnoteReference w:id="25"/>
      </w:r>
      <w:r w:rsidRPr="00CA711E">
        <w:rPr>
          <w:rFonts w:hint="cs"/>
          <w:rtl/>
        </w:rPr>
        <w:t>؛ فهذه رسالة في أسرار الفاتحة، بنى أول الكلام على ما هو مبادئ حال العارف من الذكر لله تعالى المستفاد من، الْحَمْدُ لِلَّهِ، والفكر في</w:t>
      </w:r>
      <w:r w:rsidRPr="004874A1">
        <w:rPr>
          <w:vertAlign w:val="superscript"/>
        </w:rPr>
        <w:footnoteReference w:id="26"/>
      </w:r>
      <w:r w:rsidRPr="00CA711E">
        <w:rPr>
          <w:rFonts w:hint="cs"/>
          <w:rtl/>
        </w:rPr>
        <w:t>، أحوال الآفاق والأنفس المستفاد من</w:t>
      </w:r>
      <w:r w:rsidRPr="004874A1">
        <w:rPr>
          <w:vertAlign w:val="superscript"/>
        </w:rPr>
        <w:footnoteReference w:id="27"/>
      </w:r>
      <w:r w:rsidRPr="004874A1">
        <w:rPr>
          <w:rFonts w:hint="cs"/>
          <w:vertAlign w:val="superscript"/>
          <w:rtl/>
        </w:rPr>
        <w:t>،</w:t>
      </w:r>
      <w:r w:rsidRPr="00CA711E">
        <w:rPr>
          <w:rFonts w:hint="cs"/>
          <w:rtl/>
        </w:rPr>
        <w:t xml:space="preserve"> رَبِّ الْعٰلَمِينَ، والتأمل في أسمائه والنظر في الآية المستفاد من، الرَّحْمٰنِ الرَّحِيمِ، والاِستدلال بصنائعه على عظيم</w:t>
      </w:r>
      <w:r w:rsidRPr="004874A1">
        <w:rPr>
          <w:vertAlign w:val="superscript"/>
        </w:rPr>
        <w:footnoteReference w:id="28"/>
      </w:r>
      <w:r w:rsidRPr="00CA711E">
        <w:rPr>
          <w:rFonts w:hint="cs"/>
          <w:rtl/>
        </w:rPr>
        <w:t>شأنه، وباهر سلطانه المستفاد من، مٰلِكِ يَوْمِ الدِّينِ، ثم قفّى</w:t>
      </w:r>
      <w:r w:rsidRPr="004874A1">
        <w:rPr>
          <w:vertAlign w:val="superscript"/>
        </w:rPr>
        <w:footnoteReference w:id="29"/>
      </w:r>
      <w:r w:rsidRPr="00CA711E">
        <w:rPr>
          <w:rFonts w:hint="cs"/>
          <w:rtl/>
        </w:rPr>
        <w:t xml:space="preserve"> أي عقّب بما هو منتهى أمره، وهو أن يخوض أي يدخل لجّة</w:t>
      </w:r>
      <w:r w:rsidRPr="004874A1">
        <w:rPr>
          <w:vertAlign w:val="superscript"/>
        </w:rPr>
        <w:footnoteReference w:id="30"/>
      </w:r>
      <w:r w:rsidRPr="00CA711E">
        <w:rPr>
          <w:rFonts w:hint="cs"/>
          <w:rtl/>
        </w:rPr>
        <w:t xml:space="preserve"> الوصول لجة الماء معظمه، ويستعملفي وسط البحر، ويصير</w:t>
      </w:r>
      <w:r w:rsidRPr="004874A1">
        <w:rPr>
          <w:vertAlign w:val="superscript"/>
        </w:rPr>
        <w:footnoteReference w:id="31"/>
      </w:r>
      <w:r w:rsidRPr="00CA711E">
        <w:rPr>
          <w:rFonts w:hint="cs"/>
          <w:rtl/>
        </w:rPr>
        <w:t xml:space="preserve"> من أهل المشاهدة فيراه عيانا، ويناجيه شفاها. وأنت خبير بأن ظاهره مخالف لما عليه جمهور أهل السنة</w:t>
      </w:r>
      <w:r w:rsidRPr="004874A1">
        <w:rPr>
          <w:vertAlign w:val="superscript"/>
        </w:rPr>
        <w:footnoteReference w:id="32"/>
      </w:r>
      <w:r w:rsidRPr="00CA711E">
        <w:rPr>
          <w:rFonts w:hint="cs"/>
          <w:rtl/>
        </w:rPr>
        <w:t>، كيف وقد قال النبي (عليه السلام): «إن أحدكم لن يرى ربه حتى يموت»</w:t>
      </w:r>
      <w:r w:rsidRPr="004874A1">
        <w:rPr>
          <w:vertAlign w:val="superscript"/>
        </w:rPr>
        <w:footnoteReference w:id="33"/>
      </w:r>
      <w:r w:rsidRPr="00CA711E">
        <w:rPr>
          <w:rFonts w:hint="cs"/>
          <w:rtl/>
        </w:rPr>
        <w:t>، وقال: «نور أنى أراه»</w:t>
      </w:r>
      <w:r w:rsidRPr="004874A1">
        <w:rPr>
          <w:vertAlign w:val="superscript"/>
        </w:rPr>
        <w:footnoteReference w:id="34"/>
      </w:r>
      <w:r w:rsidRPr="00CA711E">
        <w:rPr>
          <w:rFonts w:hint="cs"/>
          <w:rtl/>
        </w:rPr>
        <w:t xml:space="preserve">؛ حين قال له أبو ذرّ: هل رأيت </w:t>
      </w:r>
      <w:r w:rsidRPr="00CA711E">
        <w:rPr>
          <w:rFonts w:hint="cs"/>
          <w:rtl/>
        </w:rPr>
        <w:lastRenderedPageBreak/>
        <w:t>ربك؟ فلا بدّ من تأويل، وهو أنيقال: إن كمال الإعراض عما سواه (تعالى)، وتمام التوجه إلى حضرته توجب ألاّ يكون للعبد في لسانه وقلبه وَوَهْمه</w:t>
      </w:r>
      <w:r w:rsidRPr="004874A1">
        <w:rPr>
          <w:vertAlign w:val="superscript"/>
        </w:rPr>
        <w:footnoteReference w:id="35"/>
      </w:r>
      <w:r w:rsidRPr="004874A1">
        <w:rPr>
          <w:rFonts w:hint="cs"/>
          <w:vertAlign w:val="superscript"/>
          <w:rtl/>
        </w:rPr>
        <w:t xml:space="preserve"> </w:t>
      </w:r>
      <w:r w:rsidRPr="00CA711E">
        <w:rPr>
          <w:rFonts w:hint="cs"/>
          <w:rtl/>
        </w:rPr>
        <w:t>وسره، غيره تعالى، فإذا ترسّخ بهذه الحالة تسمى مشاهدةً لِمشاهدة البصيرة</w:t>
      </w:r>
      <w:r w:rsidRPr="004637C4">
        <w:rPr>
          <w:vertAlign w:val="superscript"/>
        </w:rPr>
        <w:footnoteReference w:id="36"/>
      </w:r>
      <w:r w:rsidRPr="00CA711E">
        <w:rPr>
          <w:rFonts w:hint="cs"/>
          <w:rtl/>
        </w:rPr>
        <w:t xml:space="preserve"> إياه واشتغال</w:t>
      </w:r>
      <w:r w:rsidRPr="004637C4">
        <w:rPr>
          <w:vertAlign w:val="superscript"/>
        </w:rPr>
        <w:footnoteReference w:id="37"/>
      </w:r>
      <w:r w:rsidRPr="004637C4">
        <w:rPr>
          <w:rFonts w:hint="cs"/>
          <w:vertAlign w:val="superscript"/>
          <w:rtl/>
        </w:rPr>
        <w:t xml:space="preserve"> </w:t>
      </w:r>
      <w:r w:rsidRPr="00CA711E">
        <w:rPr>
          <w:rFonts w:hint="cs"/>
          <w:rtl/>
        </w:rPr>
        <w:t>القلب والقالب به</w:t>
      </w:r>
      <w:r w:rsidRPr="004637C4">
        <w:rPr>
          <w:vertAlign w:val="superscript"/>
        </w:rPr>
        <w:footnoteReference w:id="38"/>
      </w:r>
      <w:r w:rsidRPr="00CA711E">
        <w:rPr>
          <w:rFonts w:hint="cs"/>
          <w:rtl/>
        </w:rPr>
        <w:t xml:space="preserve">، وإليه يشير قول بعض العارفين شعر </w:t>
      </w:r>
    </w:p>
    <w:p w:rsidR="00DB0C22" w:rsidRPr="00CA711E" w:rsidRDefault="00DB0C22" w:rsidP="00CA711E">
      <w:pPr>
        <w:pStyle w:val="GvdeMetni"/>
        <w:bidi/>
        <w:rPr>
          <w:rtl/>
        </w:rPr>
      </w:pPr>
      <w:r w:rsidRPr="00CA711E">
        <w:rPr>
          <w:rFonts w:hint="cs"/>
          <w:rtl/>
        </w:rPr>
        <w:t xml:space="preserve">  خيالك في وهْمي وذكرك في فمي                      وحبك في قلبي فأين تغيب</w:t>
      </w:r>
      <w:r w:rsidRPr="004637C4">
        <w:rPr>
          <w:vertAlign w:val="superscript"/>
        </w:rPr>
        <w:footnoteReference w:id="39"/>
      </w:r>
      <w:r w:rsidRPr="00CA711E">
        <w:rPr>
          <w:rFonts w:hint="cs"/>
          <w:rtl/>
        </w:rPr>
        <w:t xml:space="preserve"> </w:t>
      </w:r>
    </w:p>
    <w:p w:rsidR="00DB0C22" w:rsidRPr="00CA711E" w:rsidRDefault="00DB0C22" w:rsidP="00CA711E">
      <w:pPr>
        <w:pStyle w:val="GvdeMetni"/>
        <w:bidi/>
        <w:rPr>
          <w:rtl/>
        </w:rPr>
      </w:pPr>
      <w:r w:rsidRPr="00CA711E">
        <w:rPr>
          <w:rFonts w:hint="cs"/>
          <w:rtl/>
        </w:rPr>
        <w:t xml:space="preserve"> وهو المحمل</w:t>
      </w:r>
      <w:r w:rsidRPr="004637C4">
        <w:rPr>
          <w:vertAlign w:val="superscript"/>
        </w:rPr>
        <w:footnoteReference w:id="40"/>
      </w:r>
      <w:r w:rsidRPr="00CA711E">
        <w:rPr>
          <w:rFonts w:hint="cs"/>
          <w:rtl/>
        </w:rPr>
        <w:t xml:space="preserve"> للحديث القدسي الذي رواه الإمام البخاري عن أبي هريرة (رضي الله عنه): «وما يزال عبدي يتقرب إِلَيَّ بالنوافل حتى أُحبه، فإذا أحببته كنت سمعه الذي يسمع به، وبصره الذي يبصر به، ويده التي يبطش بها، ورجله التي يمشي بها»</w:t>
      </w:r>
      <w:r w:rsidRPr="004637C4">
        <w:rPr>
          <w:vertAlign w:val="superscript"/>
        </w:rPr>
        <w:footnoteReference w:id="41"/>
      </w:r>
      <w:r w:rsidRPr="00CA711E">
        <w:rPr>
          <w:rFonts w:hint="cs"/>
          <w:rtl/>
        </w:rPr>
        <w:t>، وإليه أشار قوله (عليه الصلاة والسلام): «أن تعبد اللهَ كأنك تراه»</w:t>
      </w:r>
      <w:r w:rsidRPr="004637C4">
        <w:rPr>
          <w:vertAlign w:val="superscript"/>
        </w:rPr>
        <w:footnoteReference w:id="42"/>
      </w:r>
      <w:r w:rsidRPr="00CA711E">
        <w:rPr>
          <w:rFonts w:hint="cs"/>
          <w:rtl/>
        </w:rPr>
        <w:t>، وقوله</w:t>
      </w:r>
      <w:r w:rsidRPr="004637C4">
        <w:rPr>
          <w:vertAlign w:val="superscript"/>
        </w:rPr>
        <w:footnoteReference w:id="43"/>
      </w:r>
      <w:r w:rsidRPr="00CA711E">
        <w:rPr>
          <w:rFonts w:hint="cs"/>
          <w:rtl/>
        </w:rPr>
        <w:t xml:space="preserve"> كأنّ إشارة  إلى أنّ حذفها يقتضى المعاينة الحقيقية وهي لا توجد في الدنيا</w:t>
      </w:r>
      <w:r w:rsidRPr="004637C4">
        <w:rPr>
          <w:vertAlign w:val="superscript"/>
        </w:rPr>
        <w:footnoteReference w:id="44"/>
      </w:r>
      <w:r w:rsidRPr="00CA711E">
        <w:rPr>
          <w:rFonts w:hint="cs"/>
          <w:rtl/>
        </w:rPr>
        <w:t xml:space="preserve">، </w:t>
      </w:r>
      <w:r w:rsidRPr="00CA711E">
        <w:rPr>
          <w:rFonts w:hint="cs"/>
          <w:rtl/>
        </w:rPr>
        <w:lastRenderedPageBreak/>
        <w:t>[15ظ] وسأذكر في آخر الفاتحة وجهاً وجيهاً موافقاً لقواعد المعقول والمنقول، ومقبولاً عند أولي الألباب من الفحول إن شاء الله تعالى.</w:t>
      </w:r>
    </w:p>
    <w:p w:rsidR="00DB0C22" w:rsidRPr="00DB0C22" w:rsidRDefault="00DB0C22" w:rsidP="00114263">
      <w:pPr>
        <w:pStyle w:val="GvdeMetni"/>
        <w:bidi/>
        <w:rPr>
          <w:rtl/>
          <w:lang w:val="ar-SA"/>
        </w:rPr>
      </w:pPr>
      <w:r w:rsidRPr="00DB0C22">
        <w:rPr>
          <w:rFonts w:hint="cs"/>
          <w:rtl/>
          <w:lang w:val="ar-SA"/>
        </w:rPr>
        <w:t>واعلم</w:t>
      </w:r>
      <w:r w:rsidRPr="00DB0C22">
        <w:rPr>
          <w:vertAlign w:val="superscript"/>
          <w:lang w:val="ar-SA"/>
        </w:rPr>
        <w:footnoteReference w:id="45"/>
      </w:r>
      <w:r w:rsidRPr="00DB0C22">
        <w:rPr>
          <w:rFonts w:hint="cs"/>
          <w:rtl/>
          <w:lang w:val="ar-SA"/>
        </w:rPr>
        <w:t xml:space="preserve"> إني قد سبق منّي الوعد أن أذكر</w:t>
      </w:r>
      <w:r w:rsidRPr="00DB0C22">
        <w:rPr>
          <w:vertAlign w:val="superscript"/>
          <w:lang w:val="ar-SA"/>
        </w:rPr>
        <w:footnoteReference w:id="46"/>
      </w:r>
      <w:r w:rsidRPr="00DB0C22">
        <w:rPr>
          <w:rFonts w:hint="cs"/>
          <w:rtl/>
          <w:lang w:val="ar-SA"/>
        </w:rPr>
        <w:t xml:space="preserve"> وجهاً وجيهاً فأقول وبالله التوفيق : أطبق</w:t>
      </w:r>
      <w:r w:rsidRPr="00DB0C22">
        <w:rPr>
          <w:vertAlign w:val="superscript"/>
          <w:lang w:val="ar-SA"/>
        </w:rPr>
        <w:footnoteReference w:id="47"/>
      </w:r>
      <w:r w:rsidRPr="00DB0C22">
        <w:rPr>
          <w:rFonts w:hint="cs"/>
          <w:rtl/>
          <w:lang w:val="ar-SA"/>
        </w:rPr>
        <w:t xml:space="preserve"> العلماء المتدربون واتفق الفضلاء المتدبرون على أن الله (تعالى) أنزل مائة وأربعة كتب</w:t>
      </w:r>
      <w:r w:rsidRPr="00DB0C22">
        <w:rPr>
          <w:vertAlign w:val="superscript"/>
          <w:lang w:val="ar-SA"/>
        </w:rPr>
        <w:footnoteReference w:id="48"/>
      </w:r>
      <w:r w:rsidRPr="00DB0C22">
        <w:rPr>
          <w:rFonts w:hint="cs"/>
          <w:rtl/>
          <w:lang w:val="ar-SA"/>
        </w:rPr>
        <w:t>، وجمع معانيها في التوراة والإنجيل والزبور، وجمع معاني هذه الثلاثة في القرآن، وجمع معاني القرآن في المفصّل</w:t>
      </w:r>
      <w:r w:rsidRPr="00DB0C22">
        <w:rPr>
          <w:vertAlign w:val="superscript"/>
          <w:lang w:val="ar-SA"/>
        </w:rPr>
        <w:footnoteReference w:id="49"/>
      </w:r>
      <w:r w:rsidRPr="00DB0C22">
        <w:rPr>
          <w:rFonts w:hint="cs"/>
          <w:rtl/>
          <w:lang w:val="ar-SA"/>
        </w:rPr>
        <w:t>، ومعان المفصّل في الفاتحة</w:t>
      </w:r>
      <w:r w:rsidRPr="00DB0C22">
        <w:rPr>
          <w:vertAlign w:val="superscript"/>
          <w:lang w:val="ar-SA"/>
        </w:rPr>
        <w:footnoteReference w:id="50"/>
      </w:r>
      <w:r w:rsidRPr="00DB0C22">
        <w:rPr>
          <w:rFonts w:hint="cs"/>
          <w:rtl/>
          <w:lang w:val="ar-SA"/>
        </w:rPr>
        <w:t>، وَسِرُّهُ أنك قد عرفت أن المقصود من إنزال الكتب تكميل النفوس بحسب القوّتين النظرية والعملية</w:t>
      </w:r>
      <w:r w:rsidRPr="00DB0C22">
        <w:rPr>
          <w:vertAlign w:val="superscript"/>
          <w:lang w:val="ar-SA"/>
        </w:rPr>
        <w:footnoteReference w:id="51"/>
      </w:r>
      <w:r w:rsidRPr="00DB0C22">
        <w:rPr>
          <w:rFonts w:hint="cs"/>
          <w:rtl/>
          <w:lang w:val="ar-SA"/>
        </w:rPr>
        <w:t>، وبيان درجات السعداء ودركات الأشقياء، وتكميلها باعتبار الأولى</w:t>
      </w:r>
      <w:r w:rsidRPr="00DB0C22">
        <w:rPr>
          <w:vertAlign w:val="superscript"/>
          <w:lang w:val="ar-SA"/>
        </w:rPr>
        <w:footnoteReference w:id="52"/>
      </w:r>
      <w:r w:rsidRPr="00DB0C22">
        <w:rPr>
          <w:rFonts w:hint="cs"/>
          <w:rtl/>
          <w:lang w:val="ar-SA"/>
        </w:rPr>
        <w:t xml:space="preserve"> بمعرفة المبدأ والمعاد وما بينهما.</w:t>
      </w:r>
      <w:r w:rsidRPr="00DB0C22">
        <w:rPr>
          <w:vertAlign w:val="superscript"/>
          <w:lang w:val="ar-SA"/>
        </w:rPr>
        <w:footnoteReference w:id="53"/>
      </w:r>
    </w:p>
    <w:p w:rsidR="00DB0C22" w:rsidRPr="00DB0C22" w:rsidRDefault="00DB0C22" w:rsidP="00257358">
      <w:pPr>
        <w:pStyle w:val="GvdeMetni"/>
        <w:bidi/>
        <w:rPr>
          <w:rtl/>
          <w:lang w:val="ar-SA"/>
        </w:rPr>
      </w:pPr>
      <w:r w:rsidRPr="00DB0C22">
        <w:rPr>
          <w:rFonts w:hint="cs"/>
          <w:rtl/>
          <w:lang w:val="ar-SA"/>
        </w:rPr>
        <w:t>وباعتبار الثانية</w:t>
      </w:r>
      <w:r w:rsidRPr="00DB0C22">
        <w:rPr>
          <w:vertAlign w:val="superscript"/>
          <w:lang w:val="ar-SA"/>
        </w:rPr>
        <w:footnoteReference w:id="54"/>
      </w:r>
      <w:r w:rsidRPr="00DB0C22">
        <w:rPr>
          <w:rFonts w:hint="cs"/>
          <w:rtl/>
          <w:lang w:val="ar-SA"/>
        </w:rPr>
        <w:t xml:space="preserve"> بالعمل بما يلائم نظام المعاش ونجاة المعاد ومقتضاهما تحصيلا سعادة الدارين وإحراز الفضيلة للكونين</w:t>
      </w:r>
      <w:r w:rsidRPr="00DB0C22">
        <w:rPr>
          <w:vertAlign w:val="superscript"/>
          <w:lang w:val="ar-SA"/>
        </w:rPr>
        <w:footnoteReference w:id="55"/>
      </w:r>
      <w:r w:rsidRPr="00DB0C22">
        <w:rPr>
          <w:rFonts w:hint="cs"/>
          <w:rtl/>
          <w:lang w:val="ar-SA"/>
        </w:rPr>
        <w:t>، والفاتحة  تفيد</w:t>
      </w:r>
      <w:r w:rsidRPr="00DB0C22">
        <w:rPr>
          <w:vertAlign w:val="superscript"/>
          <w:rtl/>
          <w:lang w:val="ar-SA"/>
        </w:rPr>
        <w:footnoteReference w:id="56"/>
      </w:r>
      <w:r w:rsidRPr="00DB0C22">
        <w:rPr>
          <w:rFonts w:hint="cs"/>
          <w:rtl/>
          <w:lang w:val="ar-SA"/>
        </w:rPr>
        <w:t xml:space="preserve"> جميع ذلك.</w:t>
      </w:r>
    </w:p>
    <w:p w:rsidR="00DB0C22" w:rsidRPr="00DB0C22" w:rsidRDefault="00DB0C22" w:rsidP="00257358">
      <w:pPr>
        <w:pStyle w:val="GvdeMetni"/>
        <w:bidi/>
        <w:rPr>
          <w:rtl/>
          <w:lang w:val="ar-SA"/>
        </w:rPr>
      </w:pPr>
      <w:r w:rsidRPr="00DB0C22">
        <w:rPr>
          <w:rFonts w:hint="cs"/>
          <w:rtl/>
          <w:lang w:val="ar-SA"/>
        </w:rPr>
        <w:t>فأقول: قوله تعالى: ﴿الْحَمْدُ لِلَّهِ﴾ ، إشارة إلى وجود ذاته ووحدانيته واتّصافه بالصفات الكمالية. وقوله عز وجل: ﴿رَبِّ الْعٰلَمِينَ﴾، إشارة إلى كونه مُبدِئ</w:t>
      </w:r>
      <w:r w:rsidRPr="00DB0C22">
        <w:rPr>
          <w:vertAlign w:val="superscript"/>
          <w:lang w:val="ar-SA"/>
        </w:rPr>
        <w:footnoteReference w:id="57"/>
      </w:r>
      <w:r w:rsidRPr="00DB0C22">
        <w:rPr>
          <w:rFonts w:hint="cs"/>
          <w:rtl/>
          <w:lang w:val="ar-SA"/>
        </w:rPr>
        <w:t xml:space="preserve">  الموجودات وقوله عز وجل: ﴿الرَّحْمٰنِ الرَّحِيمِ﴾</w:t>
      </w:r>
      <w:r w:rsidRPr="00DB0C22">
        <w:rPr>
          <w:vertAlign w:val="superscript"/>
          <w:lang w:val="ar-SA"/>
        </w:rPr>
        <w:footnoteReference w:id="58"/>
      </w:r>
      <w:r w:rsidRPr="00DB0C22">
        <w:rPr>
          <w:rFonts w:hint="cs"/>
          <w:rtl/>
          <w:lang w:val="ar-SA"/>
        </w:rPr>
        <w:t xml:space="preserve">، </w:t>
      </w:r>
      <w:r w:rsidRPr="00DB0C22">
        <w:rPr>
          <w:rFonts w:hint="cs"/>
          <w:rtl/>
          <w:lang w:val="ar-SA"/>
        </w:rPr>
        <w:lastRenderedPageBreak/>
        <w:t>إشارة إلى ما  بينهما</w:t>
      </w:r>
      <w:r w:rsidRPr="00DB0C22">
        <w:rPr>
          <w:vertAlign w:val="superscript"/>
          <w:lang w:val="ar-SA"/>
        </w:rPr>
        <w:footnoteReference w:id="59"/>
      </w:r>
      <w:r w:rsidRPr="00DB0C22">
        <w:rPr>
          <w:rFonts w:hint="cs"/>
          <w:rtl/>
          <w:lang w:val="ar-SA"/>
        </w:rPr>
        <w:t>، فالمجموع يفيد الإشارة إلى التكميل باعتبارها</w:t>
      </w:r>
      <w:r w:rsidRPr="00DB0C22">
        <w:rPr>
          <w:vertAlign w:val="superscript"/>
          <w:lang w:val="ar-SA"/>
        </w:rPr>
        <w:footnoteReference w:id="60"/>
      </w:r>
      <w:r w:rsidRPr="00DB0C22">
        <w:rPr>
          <w:rFonts w:hint="cs"/>
          <w:rtl/>
          <w:lang w:val="ar-SA"/>
        </w:rPr>
        <w:t xml:space="preserve"> الأولى</w:t>
      </w:r>
      <w:r w:rsidRPr="00DB0C22">
        <w:rPr>
          <w:vertAlign w:val="superscript"/>
          <w:lang w:val="ar-SA"/>
        </w:rPr>
        <w:footnoteReference w:id="61"/>
      </w:r>
      <w:r w:rsidRPr="00DB0C22">
        <w:rPr>
          <w:rFonts w:hint="cs"/>
          <w:rtl/>
          <w:lang w:val="ar-SA"/>
        </w:rPr>
        <w:t>، وقوله عز وجل: ﴿ مٰلِكِ يَوْمِ الدِّينِ ﴾</w:t>
      </w:r>
      <w:r w:rsidRPr="00DB0C22">
        <w:rPr>
          <w:vertAlign w:val="superscript"/>
          <w:lang w:val="ar-SA"/>
        </w:rPr>
        <w:footnoteReference w:id="62"/>
      </w:r>
      <w:r w:rsidRPr="00DB0C22">
        <w:rPr>
          <w:rFonts w:hint="cs"/>
          <w:rtl/>
          <w:lang w:val="ar-SA"/>
        </w:rPr>
        <w:t>، إشارة إلى المعاد وإلى الوعد للحامدين</w:t>
      </w:r>
      <w:r w:rsidRPr="00DB0C22">
        <w:rPr>
          <w:vertAlign w:val="superscript"/>
          <w:lang w:val="ar-SA"/>
        </w:rPr>
        <w:footnoteReference w:id="63"/>
      </w:r>
      <w:r w:rsidRPr="00DB0C22">
        <w:rPr>
          <w:rFonts w:hint="cs"/>
          <w:rtl/>
          <w:lang w:val="ar-SA"/>
        </w:rPr>
        <w:t xml:space="preserve"> العاملين، والوعيد للمعرضين المقصرين. وقوله عز وجل: ﴿إيَّاكَ نَعْبُدُ﴾</w:t>
      </w:r>
      <w:r w:rsidRPr="00DB0C22">
        <w:rPr>
          <w:vertAlign w:val="superscript"/>
          <w:lang w:val="ar-SA"/>
        </w:rPr>
        <w:footnoteReference w:id="64"/>
      </w:r>
      <w:r w:rsidRPr="00DB0C22">
        <w:rPr>
          <w:rFonts w:hint="cs"/>
          <w:rtl/>
          <w:lang w:val="ar-SA"/>
        </w:rPr>
        <w:t>، يفيد الإشارة الى التكميل باعتبار الثانية</w:t>
      </w:r>
      <w:r w:rsidRPr="00DB0C22">
        <w:rPr>
          <w:vertAlign w:val="superscript"/>
          <w:lang w:val="ar-SA"/>
        </w:rPr>
        <w:footnoteReference w:id="65"/>
      </w:r>
      <w:r w:rsidRPr="00DB0C22">
        <w:rPr>
          <w:rFonts w:hint="cs"/>
          <w:rtl/>
          <w:lang w:val="ar-SA"/>
        </w:rPr>
        <w:t xml:space="preserve"> وقد اِلتفت من الغيبة الى الخطاب</w:t>
      </w:r>
      <w:r w:rsidRPr="00DB0C22">
        <w:rPr>
          <w:vertAlign w:val="superscript"/>
          <w:lang w:val="ar-SA"/>
        </w:rPr>
        <w:footnoteReference w:id="66"/>
      </w:r>
      <w:r w:rsidRPr="00DB0C22">
        <w:rPr>
          <w:rFonts w:hint="cs"/>
          <w:rtl/>
          <w:lang w:val="ar-SA"/>
        </w:rPr>
        <w:t>؛ لأن العبد بعد ما عرف وجوده (تعالى) ووَحدانيّته وإتصافه بالصفات الكمالية، وتيقّن أنه (تعالى) مُوجِدُ الموجودات ومتقنها ومعطي جلائل النِعَم ودقائقها وعاجلها وآجلها، وأنه (تعالى) مجازي الأعمال يوم القيامة إنْ خيراً فالثواب، وإن شرًا فبالعقاب؛ يحصل له</w:t>
      </w:r>
      <w:r w:rsidRPr="00DB0C22">
        <w:rPr>
          <w:vertAlign w:val="superscript"/>
          <w:lang w:val="ar-SA"/>
        </w:rPr>
        <w:footnoteReference w:id="67"/>
      </w:r>
      <w:r w:rsidRPr="00DB0C22">
        <w:rPr>
          <w:rFonts w:hint="cs"/>
          <w:rtl/>
          <w:lang w:val="ar-SA"/>
        </w:rPr>
        <w:t xml:space="preserve"> مرتبة الإيمان والإسلام  والإحسان</w:t>
      </w:r>
      <w:r w:rsidRPr="00DB0C22">
        <w:rPr>
          <w:vertAlign w:val="superscript"/>
          <w:lang w:val="ar-SA"/>
        </w:rPr>
        <w:footnoteReference w:id="68"/>
      </w:r>
      <w:r w:rsidRPr="00DB0C22">
        <w:rPr>
          <w:rFonts w:hint="cs"/>
          <w:rtl/>
          <w:lang w:val="ar-SA"/>
        </w:rPr>
        <w:t>، وهو «أن تعبد الله كأنك تراه [ 16و] فإن لم تكن</w:t>
      </w:r>
      <w:r w:rsidRPr="00DB0C22">
        <w:rPr>
          <w:vertAlign w:val="superscript"/>
          <w:lang w:val="ar-SA"/>
        </w:rPr>
        <w:footnoteReference w:id="69"/>
      </w:r>
      <w:r w:rsidRPr="00DB0C22">
        <w:rPr>
          <w:rFonts w:hint="cs"/>
          <w:rtl/>
          <w:lang w:val="ar-SA"/>
        </w:rPr>
        <w:t xml:space="preserve"> تراه فإنه يراك»</w:t>
      </w:r>
      <w:r w:rsidRPr="00DB0C22">
        <w:rPr>
          <w:vertAlign w:val="superscript"/>
          <w:lang w:val="ar-SA"/>
        </w:rPr>
        <w:footnoteReference w:id="70"/>
      </w:r>
      <w:r w:rsidRPr="00DB0C22">
        <w:rPr>
          <w:rFonts w:hint="cs"/>
          <w:rtl/>
          <w:lang w:val="ar-SA"/>
        </w:rPr>
        <w:t>، وإليه أشار بقوله: ﴿إِيَّاكَ نَعْبُدُ﴾ ، فإذا وصل إلى مرتبة الإخلاص صار على خطير عظيم بمقتضى قوله عليه الصلاة والسلام «المخلصون على خطر</w:t>
      </w:r>
      <w:r w:rsidRPr="00DB0C22">
        <w:rPr>
          <w:vertAlign w:val="superscript"/>
          <w:lang w:val="ar-SA"/>
        </w:rPr>
        <w:footnoteReference w:id="71"/>
      </w:r>
      <w:r w:rsidRPr="00DB0C22">
        <w:rPr>
          <w:rFonts w:hint="cs"/>
          <w:rtl/>
          <w:lang w:val="ar-SA"/>
        </w:rPr>
        <w:t xml:space="preserve"> عظيم»</w:t>
      </w:r>
      <w:r w:rsidRPr="00DB0C22">
        <w:rPr>
          <w:vertAlign w:val="superscript"/>
          <w:lang w:val="ar-SA"/>
        </w:rPr>
        <w:footnoteReference w:id="72"/>
      </w:r>
      <w:r w:rsidRPr="00DB0C22">
        <w:rPr>
          <w:rFonts w:hint="cs"/>
          <w:rtl/>
          <w:lang w:val="ar-SA"/>
        </w:rPr>
        <w:t xml:space="preserve">. فيجب الاستعانة به تعالى. وإليه أشار بقوله تعالى: ﴿ وإِيَّاكَ نَسْتَعِينُ </w:t>
      </w:r>
      <w:r w:rsidRPr="00DB0C22">
        <w:rPr>
          <w:rFonts w:hint="cs"/>
          <w:rtl/>
          <w:lang w:val="ar-SA"/>
        </w:rPr>
        <w:lastRenderedPageBreak/>
        <w:t>﴾</w:t>
      </w:r>
      <w:r w:rsidRPr="00DB0C22">
        <w:rPr>
          <w:vertAlign w:val="superscript"/>
          <w:lang w:val="ar-SA"/>
        </w:rPr>
        <w:footnoteReference w:id="73"/>
      </w:r>
      <w:r w:rsidRPr="00DB0C22">
        <w:rPr>
          <w:rFonts w:hint="cs"/>
          <w:rtl/>
          <w:lang w:val="ar-SA"/>
        </w:rPr>
        <w:t>، ثم إنّ الخطر</w:t>
      </w:r>
      <w:r w:rsidRPr="00DB0C22">
        <w:rPr>
          <w:vertAlign w:val="superscript"/>
          <w:lang w:val="ar-SA"/>
        </w:rPr>
        <w:footnoteReference w:id="74"/>
      </w:r>
      <w:r w:rsidRPr="00DB0C22">
        <w:rPr>
          <w:rFonts w:hint="cs"/>
          <w:rtl/>
          <w:lang w:val="ar-SA"/>
        </w:rPr>
        <w:t>، إما بفقدان الموجود وهو ظاهر، أو بالعجز عن وجدان المقصود فوق المقصود بمقتضى</w:t>
      </w:r>
      <w:r w:rsidRPr="00DB0C22">
        <w:rPr>
          <w:vertAlign w:val="superscript"/>
          <w:lang w:val="ar-SA"/>
        </w:rPr>
        <w:footnoteReference w:id="75"/>
      </w:r>
      <w:r w:rsidRPr="00DB0C22">
        <w:rPr>
          <w:rFonts w:hint="cs"/>
          <w:rtl/>
          <w:lang w:val="ar-SA"/>
        </w:rPr>
        <w:t xml:space="preserve"> قوله (صلى الله عليه وسلم): «من تساوى يوماه فهو مغبون»</w:t>
      </w:r>
      <w:r w:rsidRPr="00DB0C22">
        <w:rPr>
          <w:vertAlign w:val="superscript"/>
          <w:lang w:val="ar-SA"/>
        </w:rPr>
        <w:footnoteReference w:id="76"/>
      </w:r>
      <w:r w:rsidRPr="00DB0C22">
        <w:rPr>
          <w:rFonts w:hint="cs"/>
          <w:rtl/>
          <w:lang w:val="ar-SA"/>
        </w:rPr>
        <w:t>. فإن بين الله (تعالى) وبين العبد سبعين ألف مقام</w:t>
      </w:r>
      <w:r w:rsidRPr="00DB0C22">
        <w:rPr>
          <w:vertAlign w:val="superscript"/>
          <w:lang w:val="ar-SA"/>
        </w:rPr>
        <w:footnoteReference w:id="77"/>
      </w:r>
      <w:r w:rsidRPr="00DB0C22">
        <w:rPr>
          <w:rFonts w:hint="cs"/>
          <w:rtl/>
          <w:lang w:val="ar-SA"/>
        </w:rPr>
        <w:t>، وقد ضبطها بعض العارفين في ألف، فعلى المخلصين</w:t>
      </w:r>
      <w:r w:rsidRPr="00DB0C22">
        <w:rPr>
          <w:vertAlign w:val="superscript"/>
          <w:lang w:val="ar-SA"/>
        </w:rPr>
        <w:footnoteReference w:id="78"/>
      </w:r>
      <w:r w:rsidRPr="00DB0C22">
        <w:rPr>
          <w:rFonts w:hint="cs"/>
          <w:rtl/>
          <w:lang w:val="ar-SA"/>
        </w:rPr>
        <w:t xml:space="preserve"> أن</w:t>
      </w:r>
      <w:r w:rsidRPr="00DB0C22">
        <w:rPr>
          <w:vertAlign w:val="superscript"/>
          <w:lang w:val="ar-SA"/>
        </w:rPr>
        <w:footnoteReference w:id="79"/>
      </w:r>
      <w:r w:rsidRPr="00DB0C22">
        <w:rPr>
          <w:rFonts w:hint="cs"/>
          <w:rtl/>
          <w:lang w:val="ar-SA"/>
        </w:rPr>
        <w:t xml:space="preserve">  يطلبوا</w:t>
      </w:r>
      <w:r w:rsidRPr="00DB0C22">
        <w:rPr>
          <w:vertAlign w:val="superscript"/>
          <w:rtl/>
          <w:lang w:val="ar-SA"/>
        </w:rPr>
        <w:footnoteReference w:id="80"/>
      </w:r>
      <w:r w:rsidRPr="00DB0C22">
        <w:rPr>
          <w:rFonts w:hint="cs"/>
          <w:rtl/>
          <w:lang w:val="ar-SA"/>
        </w:rPr>
        <w:t xml:space="preserve"> الترقي في كل حال؛ من مقام إلى مقام عال، وإليه أشار بقوله تعالى: ﴿اهْدِنَا الصِّرٰطَ الْمُسْتَقِيمَ ﴾</w:t>
      </w:r>
      <w:r w:rsidRPr="00DB0C22">
        <w:rPr>
          <w:vertAlign w:val="superscript"/>
          <w:lang w:val="ar-SA"/>
        </w:rPr>
        <w:footnoteReference w:id="81"/>
      </w:r>
      <w:r w:rsidRPr="00DB0C22">
        <w:rPr>
          <w:rFonts w:hint="cs"/>
          <w:rtl/>
          <w:lang w:val="ar-SA"/>
        </w:rPr>
        <w:t>، فإنه إن أريد به الثبات على ما وجده</w:t>
      </w:r>
      <w:r w:rsidRPr="00DB0C22">
        <w:rPr>
          <w:vertAlign w:val="superscript"/>
          <w:lang w:val="ar-SA"/>
        </w:rPr>
        <w:footnoteReference w:id="82"/>
      </w:r>
      <w:r w:rsidRPr="00DB0C22">
        <w:rPr>
          <w:rFonts w:hint="cs"/>
          <w:rtl/>
          <w:lang w:val="ar-SA"/>
        </w:rPr>
        <w:t xml:space="preserve"> كان لدفع الخطر الأول</w:t>
      </w:r>
      <w:r w:rsidRPr="00DB0C22">
        <w:rPr>
          <w:vertAlign w:val="superscript"/>
          <w:lang w:val="ar-SA"/>
        </w:rPr>
        <w:footnoteReference w:id="83"/>
      </w:r>
      <w:r w:rsidRPr="00DB0C22">
        <w:rPr>
          <w:rFonts w:hint="cs"/>
          <w:rtl/>
          <w:lang w:val="ar-SA"/>
        </w:rPr>
        <w:t>، وإن أريد به الزيادة عليه كان لدفع الثانى</w:t>
      </w:r>
      <w:r w:rsidRPr="00DB0C22">
        <w:rPr>
          <w:vertAlign w:val="superscript"/>
          <w:lang w:val="ar-SA"/>
        </w:rPr>
        <w:footnoteReference w:id="84"/>
      </w:r>
      <w:r w:rsidRPr="00DB0C22">
        <w:rPr>
          <w:rFonts w:hint="cs"/>
          <w:rtl/>
          <w:lang w:val="ar-SA"/>
        </w:rPr>
        <w:t>، ولما كان فيه نوع خفاء بيَّنه على سبيل الإبدال بصراط الكاملين المكملين للقوتين وهو قوله: ﴿صِرٰطَ الَّذِينَ أنعَمْتَ عَلَيْهِمْ ﴾ ، فإن إطلاق الإنعام المقتضى للانصراف الكامل يقتضي الحمد على ما ذكرنا، ثم إن المنعم عليه المذكور لماّ كان جامعا بين تكميل القوة النظرية بالعلوم الفائضة</w:t>
      </w:r>
      <w:r w:rsidRPr="00DB0C22">
        <w:rPr>
          <w:vertAlign w:val="superscript"/>
          <w:lang w:val="ar-SA"/>
        </w:rPr>
        <w:footnoteReference w:id="85"/>
      </w:r>
      <w:r w:rsidRPr="00DB0C22">
        <w:rPr>
          <w:rFonts w:hint="cs"/>
          <w:rtl/>
          <w:lang w:val="ar-SA"/>
        </w:rPr>
        <w:t xml:space="preserve">، وبين تكميل  القوة العملية بالأعمال اللائقة، وكان المخل بالعمل فاسقا مغضوبا عليه، وبالنظر جاهلا ضالا  كما سبق أردفه بذكرهما  </w:t>
      </w:r>
      <w:r w:rsidRPr="00DB0C22">
        <w:rPr>
          <w:rFonts w:hint="cs"/>
          <w:rtl/>
          <w:lang w:val="ar-SA"/>
        </w:rPr>
        <w:lastRenderedPageBreak/>
        <w:t>بياناً</w:t>
      </w:r>
      <w:r w:rsidRPr="00DB0C22">
        <w:rPr>
          <w:vertAlign w:val="superscript"/>
          <w:lang w:val="ar-SA"/>
        </w:rPr>
        <w:footnoteReference w:id="86"/>
      </w:r>
      <w:r w:rsidRPr="00DB0C22">
        <w:rPr>
          <w:rFonts w:hint="cs"/>
          <w:rtl/>
          <w:lang w:val="ar-SA"/>
        </w:rPr>
        <w:t xml:space="preserve"> لِحال الأشقياء الأشرار بعد بيان حال الأتقياء الأخيار، فإن بيان الثانية بعدما كان مقصودًا في نفسه يفيد</w:t>
      </w:r>
      <w:r w:rsidRPr="00DB0C22">
        <w:rPr>
          <w:vertAlign w:val="superscript"/>
          <w:lang w:val="ar-SA"/>
        </w:rPr>
        <w:footnoteReference w:id="87"/>
      </w:r>
      <w:r w:rsidRPr="00DB0C22">
        <w:rPr>
          <w:rFonts w:hint="cs"/>
          <w:rtl/>
          <w:lang w:val="ar-SA"/>
        </w:rPr>
        <w:t xml:space="preserve"> زيادة بيان الأولى، إذ بضدها  تتبين</w:t>
      </w:r>
      <w:r w:rsidRPr="00DB0C22">
        <w:rPr>
          <w:vertAlign w:val="superscript"/>
          <w:rtl/>
          <w:lang w:val="ar-SA"/>
        </w:rPr>
        <w:footnoteReference w:id="88"/>
      </w:r>
      <w:r w:rsidRPr="00DB0C22">
        <w:rPr>
          <w:rFonts w:hint="cs"/>
          <w:rtl/>
          <w:lang w:val="ar-SA"/>
        </w:rPr>
        <w:t xml:space="preserve">  الأشياء. تمت.</w:t>
      </w:r>
      <w:r w:rsidRPr="00DB0C22">
        <w:rPr>
          <w:vertAlign w:val="superscript"/>
          <w:lang w:val="ar-SA"/>
        </w:rPr>
        <w:footnoteReference w:id="89"/>
      </w:r>
    </w:p>
    <w:p w:rsidR="00DB0C22" w:rsidRPr="00DB0C22" w:rsidRDefault="00DB0C22" w:rsidP="001C45C1">
      <w:pPr>
        <w:pStyle w:val="Balk1"/>
        <w:numPr>
          <w:ilvl w:val="0"/>
          <w:numId w:val="2"/>
        </w:numPr>
        <w:bidi/>
        <w:rPr>
          <w:rtl/>
          <w:lang w:val="ar-SA"/>
        </w:rPr>
      </w:pPr>
      <w:r w:rsidRPr="002A3F8C">
        <w:rPr>
          <w:rFonts w:hint="cs"/>
          <w:szCs w:val="22"/>
          <w:rtl/>
        </w:rPr>
        <w:t>الخاتمة</w:t>
      </w:r>
    </w:p>
    <w:p w:rsidR="00DB0C22" w:rsidRPr="00DB0C22" w:rsidRDefault="00DB0C22" w:rsidP="001C45C1">
      <w:pPr>
        <w:pStyle w:val="Balk3"/>
        <w:numPr>
          <w:ilvl w:val="0"/>
          <w:numId w:val="4"/>
        </w:numPr>
        <w:bidi/>
        <w:rPr>
          <w:rtl/>
          <w:lang w:val="ar-SA"/>
        </w:rPr>
      </w:pPr>
      <w:r w:rsidRPr="00DB0C22">
        <w:rPr>
          <w:rtl/>
          <w:lang w:val="ar-SA"/>
        </w:rPr>
        <w:t>النتائج</w:t>
      </w:r>
    </w:p>
    <w:p w:rsidR="00DB0C22" w:rsidRPr="00DB0C22" w:rsidRDefault="00DB0C22" w:rsidP="002A3F8C">
      <w:pPr>
        <w:pStyle w:val="GvdeMetni"/>
        <w:bidi/>
        <w:rPr>
          <w:rtl/>
        </w:rPr>
      </w:pPr>
      <w:r w:rsidRPr="00DB0C22">
        <w:rPr>
          <w:rtl/>
        </w:rPr>
        <w:t>الأولى: التفسير الإشاري من الضروريات التي يحتاج إليها العوام والخواص.</w:t>
      </w:r>
    </w:p>
    <w:p w:rsidR="00DB0C22" w:rsidRPr="00DB0C22" w:rsidRDefault="00DB0C22" w:rsidP="002A3F8C">
      <w:pPr>
        <w:pStyle w:val="GvdeMetni"/>
        <w:bidi/>
        <w:rPr>
          <w:rtl/>
        </w:rPr>
      </w:pPr>
      <w:r w:rsidRPr="00DB0C22">
        <w:rPr>
          <w:rtl/>
        </w:rPr>
        <w:t xml:space="preserve"> والثانية: والتفسير الإشاري مظنة خطر وغي وضلال، يضل به وفيه  الكثير فلا يجوز أن يقوم به إلا من له دراية في العلوم كأمثال ملا خسرو.</w:t>
      </w:r>
    </w:p>
    <w:p w:rsidR="00DB0C22" w:rsidRPr="00DB0C22" w:rsidRDefault="00DB0C22" w:rsidP="001C45C1">
      <w:pPr>
        <w:pStyle w:val="Balk3"/>
        <w:numPr>
          <w:ilvl w:val="0"/>
          <w:numId w:val="4"/>
        </w:numPr>
        <w:bidi/>
        <w:rPr>
          <w:rtl/>
          <w:lang w:val="ar-SA"/>
        </w:rPr>
      </w:pPr>
      <w:r w:rsidRPr="00DB0C22">
        <w:rPr>
          <w:rtl/>
          <w:lang w:val="ar-SA"/>
        </w:rPr>
        <w:t>التوصيات</w:t>
      </w:r>
    </w:p>
    <w:p w:rsidR="00DB0C22" w:rsidRPr="00DB0C22" w:rsidRDefault="00DB0C22" w:rsidP="002A3F8C">
      <w:pPr>
        <w:pStyle w:val="GvdeMetni"/>
        <w:bidi/>
        <w:rPr>
          <w:rtl/>
          <w:lang w:val="ar-SA"/>
        </w:rPr>
      </w:pPr>
      <w:r w:rsidRPr="00DB0C22">
        <w:rPr>
          <w:rFonts w:hint="cs"/>
          <w:rtl/>
          <w:lang w:val="ar-SA"/>
        </w:rPr>
        <w:t>يستحسن أن نهتم  بالتفسير الإشاري دراسة نقدية وتحقيقاً وتعليقا لنميز الخطأ من الصواب، ولنطلع على دقائق القرآن الكريم وأسراره.</w:t>
      </w:r>
    </w:p>
    <w:p w:rsidR="00DB0C22" w:rsidRPr="00DB0C22" w:rsidRDefault="00DB0C22" w:rsidP="001C45C1">
      <w:pPr>
        <w:pStyle w:val="Balk3"/>
        <w:numPr>
          <w:ilvl w:val="0"/>
          <w:numId w:val="4"/>
        </w:numPr>
        <w:bidi/>
        <w:rPr>
          <w:rtl/>
          <w:lang w:val="ar-SA"/>
        </w:rPr>
      </w:pPr>
      <w:r w:rsidRPr="00DB0C22">
        <w:rPr>
          <w:rtl/>
          <w:lang w:val="ar-SA"/>
        </w:rPr>
        <w:t>المراجع</w:t>
      </w:r>
    </w:p>
    <w:p w:rsidR="00F1594C" w:rsidRDefault="002C3454" w:rsidP="0011546F">
      <w:pPr>
        <w:pStyle w:val="Balk1"/>
        <w:bidi/>
        <w:spacing w:before="40" w:after="40"/>
        <w:rPr>
          <w:rFonts w:cs="Minion Pro"/>
          <w:szCs w:val="19"/>
          <w:rtl/>
          <w:lang w:val="ar-SA"/>
        </w:rPr>
      </w:pPr>
      <w:r w:rsidRPr="002C3454">
        <w:rPr>
          <w:rFonts w:hint="eastAsia"/>
          <w:rtl/>
          <w:lang w:val="ar-SA"/>
        </w:rPr>
        <w:t>المصادر</w:t>
      </w:r>
      <w:r w:rsidRPr="002C3454">
        <w:rPr>
          <w:rtl/>
          <w:lang w:val="ar-SA"/>
        </w:rPr>
        <w:t xml:space="preserve"> </w:t>
      </w:r>
      <w:r w:rsidRPr="002C3454">
        <w:rPr>
          <w:rFonts w:hint="eastAsia"/>
          <w:rtl/>
          <w:lang w:val="ar-SA"/>
        </w:rPr>
        <w:t>والمراجع</w:t>
      </w:r>
    </w:p>
    <w:p w:rsidR="00DB0C22" w:rsidRPr="00387D8F" w:rsidRDefault="00DB0C22" w:rsidP="0011546F">
      <w:pPr>
        <w:pStyle w:val="Kaynaka"/>
        <w:bidi/>
        <w:spacing w:before="40" w:after="40"/>
        <w:rPr>
          <w:rtl/>
        </w:rPr>
      </w:pPr>
      <w:r w:rsidRPr="00387D8F">
        <w:rPr>
          <w:rFonts w:hint="cs"/>
          <w:rtl/>
        </w:rPr>
        <w:t>ابن حبان، محمد بن حبان بن أحمد أبو حاتم التميمي البستي، صحيح ابن حبان، رتبه الأمير علاء الدين علي بن بلبان، تحقيق شعيب الأرنؤوط، الطبعة الثانية، دار الكتب العلمية، بيروت، 1414هـ/1993م.</w:t>
      </w:r>
    </w:p>
    <w:p w:rsidR="00DB0C22" w:rsidRPr="00387D8F" w:rsidRDefault="00DB0C22" w:rsidP="0011546F">
      <w:pPr>
        <w:pStyle w:val="Kaynaka"/>
        <w:bidi/>
        <w:spacing w:before="40" w:after="40"/>
        <w:rPr>
          <w:rtl/>
        </w:rPr>
      </w:pPr>
      <w:r w:rsidRPr="00387D8F">
        <w:rPr>
          <w:rFonts w:hint="cs"/>
          <w:rtl/>
        </w:rPr>
        <w:t xml:space="preserve">ابن حجر، أحمد بن علي أبو الفضل العسقلاني الشافعي، فتح الباري شرح صحيح البخاري، مكتبة الكليات الأزهرية، القاهرة 1398هـ/ 1978م. </w:t>
      </w:r>
    </w:p>
    <w:p w:rsidR="00DB0C22" w:rsidRPr="00387D8F" w:rsidRDefault="00DB0C22" w:rsidP="0011546F">
      <w:pPr>
        <w:pStyle w:val="Kaynaka"/>
        <w:bidi/>
        <w:spacing w:before="40" w:after="40"/>
        <w:rPr>
          <w:rtl/>
        </w:rPr>
      </w:pPr>
      <w:r w:rsidRPr="00387D8F">
        <w:rPr>
          <w:rFonts w:hint="cs"/>
          <w:rtl/>
        </w:rPr>
        <w:t>ابن عادل، أبو حفص عمر بن علي الدمشقي، اللباب في علوم الكتاب، تحقيق الشيخ عادل أحمد عبد الموجود والشيخ علي محمد معوض، الطبعةالأولى، دار الكتب العلمية، بيروت، 1419 هـ/1998م.</w:t>
      </w:r>
    </w:p>
    <w:p w:rsidR="00DB0C22" w:rsidRPr="00387D8F" w:rsidRDefault="00DB0C22" w:rsidP="0011546F">
      <w:pPr>
        <w:pStyle w:val="Kaynaka"/>
        <w:bidi/>
        <w:spacing w:before="40" w:after="40"/>
        <w:rPr>
          <w:rtl/>
        </w:rPr>
      </w:pPr>
      <w:r w:rsidRPr="00387D8F">
        <w:rPr>
          <w:rFonts w:hint="cs"/>
          <w:rtl/>
        </w:rPr>
        <w:t xml:space="preserve">ابن العماد، عبد الحي بن أحمد بن محمد العَكري الحنبلي أبو الفلاح، شذرات الذهب في أخبار من ذهب، تحقيق محمود الأرناؤوط، الطبعة الأولى، دار ابن كثير،بيروت، 1413هـ/1993م. </w:t>
      </w:r>
    </w:p>
    <w:p w:rsidR="00DB0C22" w:rsidRPr="00387D8F" w:rsidRDefault="00DB0C22" w:rsidP="0011546F">
      <w:pPr>
        <w:pStyle w:val="Kaynaka"/>
        <w:bidi/>
        <w:spacing w:before="40" w:after="40"/>
        <w:rPr>
          <w:rtl/>
        </w:rPr>
      </w:pPr>
      <w:r w:rsidRPr="00387D8F">
        <w:rPr>
          <w:rFonts w:hint="cs"/>
          <w:rtl/>
        </w:rPr>
        <w:t>ابن قيم الجوزية، محمد بن أبي بكر بن أيوب بن سعد شمس الدين، تفسير القرآن الكريم، تحقيق الشيخ إبراهيم رمضان، الطبعة الأولى، دار ومكتبة الهلال، بيروت، 1410هـ.</w:t>
      </w:r>
    </w:p>
    <w:p w:rsidR="00DB0C22" w:rsidRPr="00387D8F" w:rsidRDefault="00DB0C22" w:rsidP="0011546F">
      <w:pPr>
        <w:pStyle w:val="Kaynaka"/>
        <w:bidi/>
        <w:spacing w:before="40" w:after="40"/>
        <w:rPr>
          <w:rtl/>
        </w:rPr>
      </w:pPr>
      <w:r w:rsidRPr="00387D8F">
        <w:rPr>
          <w:rFonts w:hint="cs"/>
          <w:rtl/>
        </w:rPr>
        <w:t xml:space="preserve"> ابن منظور، أبي الفضل جمال الدين محمد بن مكرم، لسان العرب، الطبعة الثالثة، دار صادر، بيروت 1414هـ/ 1994م.</w:t>
      </w:r>
    </w:p>
    <w:p w:rsidR="00DB0C22" w:rsidRPr="00387D8F" w:rsidRDefault="00DB0C22" w:rsidP="0011546F">
      <w:pPr>
        <w:pStyle w:val="Kaynaka"/>
        <w:bidi/>
        <w:spacing w:before="40" w:after="40"/>
        <w:rPr>
          <w:rtl/>
        </w:rPr>
      </w:pPr>
      <w:r w:rsidRPr="00387D8F">
        <w:rPr>
          <w:rFonts w:hint="cs"/>
          <w:rtl/>
        </w:rPr>
        <w:lastRenderedPageBreak/>
        <w:t xml:space="preserve">أبو داود، سليمان بن الأشعث بن إسحاق بن بشير بن شداد بن عمرو السجستاني، سنن أبي داود، تحقيق شعيب الأرناؤوط ومحمد كامل قره بللي، الطبعة الأولى، دار الرسالة العالمية، 1430 هـ/ 2009م. </w:t>
      </w:r>
    </w:p>
    <w:p w:rsidR="00DB0C22" w:rsidRPr="00387D8F" w:rsidRDefault="00DB0C22" w:rsidP="0011546F">
      <w:pPr>
        <w:pStyle w:val="Kaynaka"/>
        <w:bidi/>
        <w:spacing w:before="40" w:after="40"/>
        <w:rPr>
          <w:szCs w:val="19"/>
          <w:rtl/>
        </w:rPr>
      </w:pPr>
      <w:r w:rsidRPr="00387D8F">
        <w:rPr>
          <w:rFonts w:hint="cs"/>
          <w:rtl/>
        </w:rPr>
        <w:t>الأزهري، أبو منصور محمد بن أحمد الهروي، تهذيب اللغة، تحقيق محمد عوض مرعب، الطبعة الأولى، دار إحياء التراث العربي، بيروت، 2001.</w:t>
      </w:r>
    </w:p>
    <w:p w:rsidR="00DB0C22" w:rsidRPr="00387D8F" w:rsidRDefault="00DB0C22" w:rsidP="0011546F">
      <w:pPr>
        <w:pStyle w:val="Kaynaka"/>
        <w:bidi/>
        <w:spacing w:before="40" w:after="40"/>
        <w:rPr>
          <w:rtl/>
        </w:rPr>
      </w:pPr>
      <w:r w:rsidRPr="00387D8F">
        <w:rPr>
          <w:rFonts w:hint="cs"/>
          <w:rtl/>
        </w:rPr>
        <w:t xml:space="preserve">البخاري، أبي عبد الله محمد بن إسماعيل، صحيح البخاري، تحقيق محمد زهير بن الناصر، شرحه تعليق عليه مصطفى ديب البغا، الطبعة الأولى، </w:t>
      </w:r>
      <w:r w:rsidRPr="00387D8F">
        <w:rPr>
          <w:rFonts w:hint="cs"/>
          <w:szCs w:val="19"/>
          <w:rtl/>
        </w:rPr>
        <w:t>دار</w:t>
      </w:r>
      <w:r w:rsidRPr="00387D8F">
        <w:rPr>
          <w:rFonts w:hint="cs"/>
          <w:rtl/>
        </w:rPr>
        <w:t xml:space="preserve"> طوق النجاة، 1422 هـ / 2001م.</w:t>
      </w:r>
    </w:p>
    <w:p w:rsidR="00DB0C22" w:rsidRPr="00387D8F" w:rsidRDefault="00DB0C22" w:rsidP="0011546F">
      <w:pPr>
        <w:pStyle w:val="Kaynaka"/>
        <w:bidi/>
        <w:spacing w:before="40" w:after="40"/>
        <w:rPr>
          <w:rtl/>
        </w:rPr>
      </w:pPr>
      <w:r w:rsidRPr="00387D8F">
        <w:rPr>
          <w:rFonts w:hint="cs"/>
          <w:rtl/>
        </w:rPr>
        <w:t>البغدادي، إسماعيل بن محمد أمين بن مير سليم الباباني، هدية العارفين أسماء المؤلفين وآثار المصنفين، طبع بعناية وكالة المعارف الجليلة في مطبعتها البهية، إسطنبول 1955.</w:t>
      </w:r>
    </w:p>
    <w:p w:rsidR="00DB0C22" w:rsidRPr="00387D8F" w:rsidRDefault="00DB0C22" w:rsidP="0011546F">
      <w:pPr>
        <w:pStyle w:val="Kaynaka"/>
        <w:bidi/>
        <w:spacing w:before="40" w:after="40"/>
        <w:rPr>
          <w:rtl/>
        </w:rPr>
      </w:pPr>
      <w:r w:rsidRPr="00387D8F">
        <w:rPr>
          <w:rFonts w:hint="cs"/>
          <w:rtl/>
        </w:rPr>
        <w:t xml:space="preserve">بلمن، عمر ناصوحي، تاريخ التفسير، مطبعة بلمن ، إسطنبول، 1974. </w:t>
      </w:r>
    </w:p>
    <w:p w:rsidR="00DB0C22" w:rsidRPr="00387D8F" w:rsidRDefault="00DB0C22" w:rsidP="0011546F">
      <w:pPr>
        <w:pStyle w:val="Kaynaka"/>
        <w:bidi/>
        <w:spacing w:before="40" w:after="40"/>
        <w:rPr>
          <w:rtl/>
        </w:rPr>
      </w:pPr>
      <w:r w:rsidRPr="00387D8F">
        <w:rPr>
          <w:rFonts w:hint="cs"/>
          <w:rtl/>
        </w:rPr>
        <w:t>البورسوي، إسماعيل حقي بن مصطفى الحنفي المولى أبو الفداء، روح البيان في تفسير القران، المكتبة أثر، إسطنبول 1389 هـ.</w:t>
      </w:r>
    </w:p>
    <w:p w:rsidR="00DB0C22" w:rsidRPr="00387D8F" w:rsidRDefault="00DB0C22" w:rsidP="0011546F">
      <w:pPr>
        <w:pStyle w:val="Kaynaka"/>
        <w:bidi/>
        <w:spacing w:before="40" w:after="40"/>
        <w:rPr>
          <w:szCs w:val="19"/>
          <w:rtl/>
        </w:rPr>
      </w:pPr>
      <w:r w:rsidRPr="00387D8F">
        <w:rPr>
          <w:rFonts w:hint="cs"/>
          <w:rtl/>
        </w:rPr>
        <w:t xml:space="preserve">الترمذي، أبي عيسى محمد بن عيسى بن سورة بن موسى بن الضحاك، سنن الترمذي، تحقيق تعليق عليه أحمد محمد شاكر (جـ 1، 2) ومحمد فؤاد عبد الباقي (جـ 3) وإبراهيم عطوة عوض (جـ 4، 5)، الطبعة الثانية، شركة مكتبة ومطبعة مصطفى البابي الحلبي، مصر، 1395 هـ/1975 م. </w:t>
      </w:r>
    </w:p>
    <w:p w:rsidR="00DB0C22" w:rsidRPr="00387D8F" w:rsidRDefault="00DB0C22" w:rsidP="0011546F">
      <w:pPr>
        <w:pStyle w:val="Kaynaka"/>
        <w:bidi/>
        <w:spacing w:before="40" w:after="40"/>
        <w:rPr>
          <w:rtl/>
        </w:rPr>
      </w:pPr>
      <w:r w:rsidRPr="00387D8F">
        <w:rPr>
          <w:rFonts w:hint="cs"/>
          <w:rtl/>
        </w:rPr>
        <w:t>التُستري، أبو محمد سهل بن عبد الله بن يونس بن رفيع، تفسير التستري، تحقيق محمد باسل عيون السود، الطبعة الأولى، دار الكتب العلمية، بيروت، 1423هـ/2002م.</w:t>
      </w:r>
    </w:p>
    <w:p w:rsidR="00DB0C22" w:rsidRPr="00387D8F" w:rsidRDefault="00DB0C22" w:rsidP="0011546F">
      <w:pPr>
        <w:pStyle w:val="Kaynaka"/>
        <w:bidi/>
        <w:spacing w:before="40" w:after="40"/>
        <w:rPr>
          <w:rtl/>
        </w:rPr>
      </w:pPr>
      <w:r w:rsidRPr="00387D8F">
        <w:rPr>
          <w:rFonts w:hint="cs"/>
          <w:rtl/>
        </w:rPr>
        <w:t>الزبيدي، أبي الفيض محمد بن محمد بن عبد الرزاق الحسيني، تاج العروس من جواهر القاموس،  دار الهداية، بدون تاريخ.</w:t>
      </w:r>
    </w:p>
    <w:p w:rsidR="00DB0C22" w:rsidRPr="00387D8F" w:rsidRDefault="00DB0C22" w:rsidP="0011546F">
      <w:pPr>
        <w:pStyle w:val="Kaynaka"/>
        <w:bidi/>
        <w:spacing w:before="40" w:after="40"/>
        <w:rPr>
          <w:rtl/>
        </w:rPr>
      </w:pPr>
      <w:r w:rsidRPr="00387D8F">
        <w:rPr>
          <w:rFonts w:hint="cs"/>
          <w:rtl/>
        </w:rPr>
        <w:t>الزركشي، بدر الدين محمد بن عبد الله بن بهادر، البرهان في علوم القرآن، دار المعرفة، بيروت بدون تاريخ.</w:t>
      </w:r>
    </w:p>
    <w:p w:rsidR="00DB0C22" w:rsidRPr="00387D8F" w:rsidRDefault="00DB0C22" w:rsidP="0011546F">
      <w:pPr>
        <w:pStyle w:val="Kaynaka"/>
        <w:bidi/>
        <w:spacing w:before="40" w:after="40"/>
        <w:rPr>
          <w:rtl/>
        </w:rPr>
      </w:pPr>
      <w:r w:rsidRPr="00387D8F">
        <w:rPr>
          <w:rFonts w:hint="cs"/>
          <w:rtl/>
        </w:rPr>
        <w:t>الزركلي، خير الدين بن محمود بن محمد بن علي بن فارس، الأعلام، الطبعة الثانية، بدون تاريخ.</w:t>
      </w:r>
    </w:p>
    <w:p w:rsidR="00DB0C22" w:rsidRPr="00387D8F" w:rsidRDefault="00DB0C22" w:rsidP="0011546F">
      <w:pPr>
        <w:pStyle w:val="Kaynaka"/>
        <w:bidi/>
        <w:spacing w:before="40" w:after="40"/>
        <w:rPr>
          <w:rtl/>
        </w:rPr>
      </w:pPr>
      <w:r w:rsidRPr="00387D8F">
        <w:rPr>
          <w:rFonts w:hint="cs"/>
          <w:rtl/>
        </w:rPr>
        <w:t xml:space="preserve"> الزمخشري، أبو القاسم محمود بن عمرو بن أحمد جار الله، الكشاف عن حقائق غوامض التنزيل وعيون الأقاويل في وجوه التأويل، دار المعرفة، بيروت بدون تاريخ.</w:t>
      </w:r>
    </w:p>
    <w:p w:rsidR="00DB0C22" w:rsidRPr="00387D8F" w:rsidRDefault="00DB0C22" w:rsidP="0011546F">
      <w:pPr>
        <w:pStyle w:val="Kaynaka"/>
        <w:bidi/>
        <w:spacing w:before="40" w:after="40"/>
        <w:rPr>
          <w:rtl/>
        </w:rPr>
      </w:pPr>
      <w:r w:rsidRPr="00387D8F">
        <w:rPr>
          <w:rFonts w:hint="cs"/>
          <w:rtl/>
        </w:rPr>
        <w:t>الرازي، فخر الدين محمد بن عمر التميمي الشافعي، مفاتيح الغيب، الطبعة الأولى، دارالكتب العلمية، بيروت، 1411هـ /1990م.</w:t>
      </w:r>
    </w:p>
    <w:p w:rsidR="00DB0C22" w:rsidRPr="00387D8F" w:rsidRDefault="00DB0C22" w:rsidP="0011546F">
      <w:pPr>
        <w:pStyle w:val="Kaynaka"/>
        <w:bidi/>
        <w:spacing w:before="40" w:after="40"/>
        <w:rPr>
          <w:rtl/>
        </w:rPr>
      </w:pPr>
      <w:r w:rsidRPr="00387D8F">
        <w:rPr>
          <w:rFonts w:hint="cs"/>
          <w:rtl/>
        </w:rPr>
        <w:t>السخاوي، أبو الخير شمس الدين محمد بن عبد الرحمن بن محمد بن أبي بكر بن عثمان بن محمد، الضوء اللامع لأهل القرن التاسع، دار مكتبة العلمية، بيروت، بدون تاريخ.</w:t>
      </w:r>
    </w:p>
    <w:p w:rsidR="00DB0C22" w:rsidRPr="00387D8F" w:rsidRDefault="00DB0C22" w:rsidP="0011546F">
      <w:pPr>
        <w:pStyle w:val="Kaynaka"/>
        <w:bidi/>
        <w:spacing w:before="40" w:after="40"/>
        <w:rPr>
          <w:rtl/>
        </w:rPr>
      </w:pPr>
      <w:r w:rsidRPr="00387D8F">
        <w:rPr>
          <w:rFonts w:hint="cs"/>
          <w:rtl/>
        </w:rPr>
        <w:t>السمعاني، أبو المظفر منصور بن محمد بن عبد الجبار ابن أحمد المروزى التميمي، تفسير القرآن، تحقيق أبي بلال غنيم بن عباس بن غنيم، الطبعة الثانية، مدار الوطن، 1436 هـ/2011م.</w:t>
      </w:r>
    </w:p>
    <w:p w:rsidR="00DB0C22" w:rsidRPr="00387D8F" w:rsidRDefault="00DB0C22" w:rsidP="0011546F">
      <w:pPr>
        <w:pStyle w:val="Kaynaka"/>
        <w:bidi/>
        <w:spacing w:before="40" w:after="40"/>
        <w:rPr>
          <w:rtl/>
        </w:rPr>
      </w:pPr>
      <w:r w:rsidRPr="00387D8F">
        <w:rPr>
          <w:rFonts w:hint="cs"/>
          <w:rtl/>
        </w:rPr>
        <w:t>السيوطي، جلال الدين، نظم العقيان في أعيان الأعيان،  المكتبة العلمية ، بيروت بدون تاريخ.</w:t>
      </w:r>
    </w:p>
    <w:p w:rsidR="00DB0C22" w:rsidRPr="00387D8F" w:rsidRDefault="00DB0C22" w:rsidP="0011546F">
      <w:pPr>
        <w:pStyle w:val="Kaynaka"/>
        <w:bidi/>
        <w:spacing w:before="40" w:after="40"/>
        <w:rPr>
          <w:rtl/>
        </w:rPr>
      </w:pPr>
      <w:r w:rsidRPr="00387D8F">
        <w:rPr>
          <w:rFonts w:hint="cs"/>
          <w:rtl/>
        </w:rPr>
        <w:t>الصفوري، عبد الرحمن بن عبد السلام، نزهة المجالس ومنتخب النفائس، المطبعه الشعبانية، بيروت بدون تاريخ.</w:t>
      </w:r>
    </w:p>
    <w:p w:rsidR="00DB0C22" w:rsidRPr="00387D8F" w:rsidRDefault="00DB0C22" w:rsidP="0011546F">
      <w:pPr>
        <w:pStyle w:val="Kaynaka"/>
        <w:bidi/>
        <w:spacing w:before="40" w:after="40"/>
        <w:rPr>
          <w:rtl/>
        </w:rPr>
      </w:pPr>
      <w:r w:rsidRPr="00387D8F">
        <w:rPr>
          <w:rFonts w:hint="cs"/>
          <w:rtl/>
        </w:rPr>
        <w:lastRenderedPageBreak/>
        <w:t>طاشْكُبْري زَادَه، أحمد بن مصطفى بن خليل أبو الخير عصام الدين، الشقائق النعمانية في علماء الدولة العثمانية، دار الكتاب العربي، بيروت 1395هــ/ 1975م.</w:t>
      </w:r>
    </w:p>
    <w:p w:rsidR="00DB0C22" w:rsidRPr="00387D8F" w:rsidRDefault="00DB0C22" w:rsidP="0011546F">
      <w:pPr>
        <w:pStyle w:val="Kaynaka"/>
        <w:bidi/>
        <w:spacing w:before="40" w:after="40"/>
        <w:rPr>
          <w:rtl/>
        </w:rPr>
      </w:pPr>
      <w:r w:rsidRPr="00387D8F">
        <w:rPr>
          <w:rFonts w:hint="cs"/>
          <w:rtl/>
        </w:rPr>
        <w:t>علي القاري، محمد أبو الحسن نور الدين الملا الهروي، الأسرار المرفوعة في الأخبار الموضوعة المعروف بالموضوعات الكبرى، تحقيق محمد الصباغ، دار الأمانة مؤسسة الرسالة، بيروت 1391هـ</w:t>
      </w:r>
    </w:p>
    <w:p w:rsidR="00DB0C22" w:rsidRPr="00387D8F" w:rsidRDefault="00DB0C22" w:rsidP="0011546F">
      <w:pPr>
        <w:pStyle w:val="Kaynaka"/>
        <w:bidi/>
        <w:spacing w:before="40" w:after="40"/>
        <w:rPr>
          <w:rtl/>
        </w:rPr>
      </w:pPr>
      <w:r w:rsidRPr="00387D8F">
        <w:rPr>
          <w:rFonts w:hint="cs"/>
          <w:rtl/>
        </w:rPr>
        <w:t>الغزالي، محمد بن محمد أبو حامد، إحياء علوم الدين، مكتبة ومطبعة مصطفى البابي الحلبي، القاهرة 1358 هـ/ 1939م.</w:t>
      </w:r>
    </w:p>
    <w:p w:rsidR="00DB0C22" w:rsidRPr="00387D8F" w:rsidRDefault="00DB0C22" w:rsidP="0011546F">
      <w:pPr>
        <w:pStyle w:val="Kaynaka"/>
        <w:bidi/>
        <w:spacing w:before="40" w:after="40"/>
        <w:rPr>
          <w:rtl/>
        </w:rPr>
      </w:pPr>
      <w:r w:rsidRPr="00387D8F">
        <w:rPr>
          <w:rFonts w:hint="cs"/>
          <w:rtl/>
        </w:rPr>
        <w:t xml:space="preserve">الغزالي، محمد بن محمد أبو حامد، الإملاء عن إشكالات الإحياء (بهامش إحياء علوم الدين)، مكتبة ومطبعة مصطفى البابي الحلبي، القاهرة 1358 هـ/ 1939م.  </w:t>
      </w:r>
    </w:p>
    <w:p w:rsidR="00DB0C22" w:rsidRPr="00387D8F" w:rsidRDefault="00DB0C22" w:rsidP="0011546F">
      <w:pPr>
        <w:pStyle w:val="Kaynaka"/>
        <w:bidi/>
        <w:spacing w:before="40" w:after="40"/>
        <w:rPr>
          <w:rtl/>
        </w:rPr>
      </w:pPr>
      <w:r w:rsidRPr="00387D8F">
        <w:rPr>
          <w:rFonts w:hint="cs"/>
          <w:rtl/>
        </w:rPr>
        <w:t>الفيروزآبادي، مجد الدين محمد بن يعقوب، القاموس المحيط، الطبعة الثالثة، بيروت، 1413 هـ/1993م.</w:t>
      </w:r>
    </w:p>
    <w:p w:rsidR="00DB0C22" w:rsidRPr="00387D8F" w:rsidRDefault="00DB0C22" w:rsidP="0011546F">
      <w:pPr>
        <w:pStyle w:val="Kaynaka"/>
        <w:bidi/>
        <w:spacing w:before="40" w:after="40"/>
        <w:rPr>
          <w:rtl/>
        </w:rPr>
      </w:pPr>
      <w:r w:rsidRPr="00387D8F">
        <w:rPr>
          <w:rFonts w:hint="cs"/>
          <w:rtl/>
        </w:rPr>
        <w:t>كاتب جلبي، مصطفى بن عبد الله المشهور باسم حاجي خليفة، كشف الظنون عن أسامي الكتب والفنون، دار إحياء التراث العربي، بيروت، بدون تاريخ.</w:t>
      </w:r>
    </w:p>
    <w:p w:rsidR="00DB0C22" w:rsidRPr="00387D8F" w:rsidRDefault="00DB0C22" w:rsidP="0011546F">
      <w:pPr>
        <w:pStyle w:val="Kaynaka"/>
        <w:bidi/>
        <w:spacing w:before="40" w:after="40"/>
        <w:rPr>
          <w:rtl/>
        </w:rPr>
      </w:pPr>
      <w:r w:rsidRPr="00387D8F">
        <w:rPr>
          <w:rFonts w:hint="cs"/>
          <w:rtl/>
        </w:rPr>
        <w:t>الكحالة، عمر بن رضا بن محمد راغب بن عبد الغني، معجم المؤلفين، الطبعة الأولي، مؤسسة الريالة، بيروت 1414هـ /1993م.</w:t>
      </w:r>
    </w:p>
    <w:p w:rsidR="00DB0C22" w:rsidRPr="00387D8F" w:rsidRDefault="00DB0C22" w:rsidP="0011546F">
      <w:pPr>
        <w:pStyle w:val="Kaynaka"/>
        <w:bidi/>
        <w:spacing w:before="40" w:after="40"/>
        <w:rPr>
          <w:rtl/>
        </w:rPr>
      </w:pPr>
      <w:r w:rsidRPr="00387D8F">
        <w:rPr>
          <w:rFonts w:hint="cs"/>
          <w:rtl/>
        </w:rPr>
        <w:t>اللكنوي، محمد عبد الحي الهندي، الفوائد البهية في تراجم الحنفية، الطبعة الأولى، مطبعة السعادة، مصر، 1324 هـ.</w:t>
      </w:r>
    </w:p>
    <w:p w:rsidR="00DB0C22" w:rsidRPr="00387D8F" w:rsidRDefault="00DB0C22" w:rsidP="0011546F">
      <w:pPr>
        <w:pStyle w:val="Kaynaka"/>
        <w:bidi/>
        <w:spacing w:before="40" w:after="40"/>
        <w:rPr>
          <w:rtl/>
        </w:rPr>
      </w:pPr>
      <w:r w:rsidRPr="00387D8F">
        <w:rPr>
          <w:rFonts w:hint="cs"/>
          <w:rtl/>
        </w:rPr>
        <w:t>مجمع اللغة العربية، معجم الوسيط، مكتبة الشروق الدولية، مصر، 2004.</w:t>
      </w:r>
    </w:p>
    <w:p w:rsidR="00DB0C22" w:rsidRPr="00387D8F" w:rsidRDefault="00DB0C22" w:rsidP="0011546F">
      <w:pPr>
        <w:pStyle w:val="Kaynaka"/>
        <w:bidi/>
        <w:spacing w:before="40" w:after="40"/>
        <w:rPr>
          <w:rtl/>
        </w:rPr>
      </w:pPr>
      <w:r w:rsidRPr="00387D8F">
        <w:rPr>
          <w:rFonts w:hint="cs"/>
          <w:rtl/>
        </w:rPr>
        <w:t>مسلم، ابن الحجاج أبو الحسين القشيري النيسابوري، صحيح مسلم، تحقيق وتعليق عليه محمد فؤاد عبد الباقي ، دار إحياء التراث العربي، بيروت، بدون تاريخ.</w:t>
      </w:r>
    </w:p>
    <w:p w:rsidR="00DB0C22" w:rsidRPr="00387D8F" w:rsidRDefault="00DB0C22" w:rsidP="0011546F">
      <w:pPr>
        <w:pStyle w:val="Kaynaka"/>
        <w:bidi/>
        <w:spacing w:before="40" w:after="40"/>
        <w:rPr>
          <w:rtl/>
        </w:rPr>
      </w:pPr>
      <w:r w:rsidRPr="00387D8F">
        <w:rPr>
          <w:rFonts w:hint="cs"/>
          <w:rtl/>
        </w:rPr>
        <w:t>ملا خسرو، محمد بن فرامرز بن علي، درر الحكام شرح غرر الأحكام، مطبعة ونشر الفضيلية، إسطنبول، 1978.</w:t>
      </w:r>
    </w:p>
    <w:p w:rsidR="00DB0C22" w:rsidRPr="00387D8F" w:rsidRDefault="00DB0C22" w:rsidP="0011546F">
      <w:pPr>
        <w:pStyle w:val="Kaynaka"/>
        <w:bidi/>
        <w:spacing w:before="40" w:after="40"/>
        <w:rPr>
          <w:szCs w:val="19"/>
          <w:rtl/>
        </w:rPr>
      </w:pPr>
      <w:r w:rsidRPr="00387D8F">
        <w:rPr>
          <w:rFonts w:hint="cs"/>
          <w:rtl/>
        </w:rPr>
        <w:t xml:space="preserve">النيسابوري، نظام الدين الحسن بن محمد بن حسين القمي، غرائب القرآن ورغائب الفرقان، الطبعة الأولى، تحقيق إبراهيم عطوة عوض، مكتبة ومطبعة مصطفى البابي الحلبي، 1381هـ/1962م. </w:t>
      </w:r>
    </w:p>
    <w:p w:rsidR="00DB0C22" w:rsidRPr="00387D8F" w:rsidRDefault="00DB0C22" w:rsidP="0011546F">
      <w:pPr>
        <w:pStyle w:val="Kaynaka"/>
        <w:bidi/>
        <w:spacing w:before="40" w:after="40"/>
        <w:rPr>
          <w:szCs w:val="19"/>
          <w:rtl/>
        </w:rPr>
      </w:pPr>
      <w:r w:rsidRPr="00387D8F">
        <w:rPr>
          <w:rFonts w:hint="cs"/>
          <w:rtl/>
        </w:rPr>
        <w:t>العجلوني، إسماعيل بن محمد الجراحي، كشف الخفاء ومزيل الإلباس عما اشتهر من الأحاديث على ألسنة الناس، الطبعة الثانية، دار إحياء التراث العربي، بيروت، 1352 هـ.</w:t>
      </w:r>
    </w:p>
    <w:p w:rsidR="00DB0C22" w:rsidRPr="00387D8F" w:rsidRDefault="00DB0C22" w:rsidP="0011546F">
      <w:pPr>
        <w:pStyle w:val="Kaynaka"/>
        <w:bidi/>
        <w:spacing w:before="40" w:after="40"/>
        <w:rPr>
          <w:rtl/>
        </w:rPr>
      </w:pPr>
      <w:r w:rsidRPr="00387D8F">
        <w:rPr>
          <w:rFonts w:hint="cs"/>
          <w:rtl/>
        </w:rPr>
        <w:t xml:space="preserve">الهروي، عبد الله الأنصاري، منازل السائرين، دار التركي، 1989. </w:t>
      </w:r>
    </w:p>
    <w:p w:rsidR="00DB0C22" w:rsidRPr="00387D8F" w:rsidRDefault="00DB0C22" w:rsidP="0011546F">
      <w:pPr>
        <w:pStyle w:val="Kaynaka"/>
        <w:bidi/>
        <w:spacing w:before="40" w:after="40"/>
        <w:rPr>
          <w:rtl/>
        </w:rPr>
      </w:pPr>
      <w:r w:rsidRPr="00387D8F">
        <w:rPr>
          <w:rFonts w:hint="cs"/>
          <w:rtl/>
        </w:rPr>
        <w:t xml:space="preserve">بروكلمان،كارل </w:t>
      </w:r>
      <w:r w:rsidRPr="00387D8F">
        <w:rPr>
          <w:rtl/>
        </w:rPr>
        <w:t>(Carl  Brockelman)،</w:t>
      </w:r>
      <w:r w:rsidRPr="00387D8F">
        <w:rPr>
          <w:rFonts w:hint="cs"/>
          <w:rtl/>
        </w:rPr>
        <w:t xml:space="preserve"> </w:t>
      </w:r>
      <w:r w:rsidRPr="00387D8F">
        <w:rPr>
          <w:rtl/>
        </w:rPr>
        <w:t>Supplementband</w:t>
      </w:r>
      <w:r w:rsidRPr="00387D8F">
        <w:rPr>
          <w:rFonts w:hint="cs"/>
          <w:rtl/>
        </w:rPr>
        <w:t>، مطبعة بريل، ليدن، 1938.</w:t>
      </w:r>
    </w:p>
    <w:p w:rsidR="00E97297" w:rsidRPr="00387D8F" w:rsidRDefault="00DB0C22" w:rsidP="0011546F">
      <w:pPr>
        <w:pStyle w:val="Kaynaka"/>
        <w:spacing w:before="40" w:after="40"/>
      </w:pPr>
      <w:r w:rsidRPr="00387D8F">
        <w:rPr>
          <w:rtl/>
        </w:rPr>
        <w:t xml:space="preserve">Ferhat Koca, “Molla Hüsrev” TDV </w:t>
      </w:r>
      <w:r w:rsidRPr="00387D8F">
        <w:rPr>
          <w:rFonts w:ascii="Cambria" w:hAnsi="Cambria" w:cs="Cambria" w:hint="cs"/>
          <w:rtl/>
        </w:rPr>
        <w:t>İ</w:t>
      </w:r>
      <w:r w:rsidRPr="00387D8F">
        <w:rPr>
          <w:rtl/>
        </w:rPr>
        <w:t>sl</w:t>
      </w:r>
      <w:r w:rsidRPr="00387D8F">
        <w:rPr>
          <w:rFonts w:hint="cs"/>
          <w:rtl/>
        </w:rPr>
        <w:t>â</w:t>
      </w:r>
      <w:r w:rsidRPr="00387D8F">
        <w:rPr>
          <w:rtl/>
        </w:rPr>
        <w:t>m Ansiklopedisi (D</w:t>
      </w:r>
      <w:r w:rsidRPr="00387D8F">
        <w:rPr>
          <w:rFonts w:ascii="Cambria" w:hAnsi="Cambria" w:cs="Cambria" w:hint="cs"/>
          <w:rtl/>
        </w:rPr>
        <w:t>İ</w:t>
      </w:r>
      <w:r w:rsidRPr="00387D8F">
        <w:rPr>
          <w:rtl/>
        </w:rPr>
        <w:t>A),Ankara, 2005</w:t>
      </w:r>
    </w:p>
    <w:sectPr w:rsidR="00E97297" w:rsidRPr="00387D8F" w:rsidSect="004C694B">
      <w:headerReference w:type="even" r:id="rId8"/>
      <w:headerReference w:type="default" r:id="rId9"/>
      <w:footerReference w:type="even" r:id="rId10"/>
      <w:footerReference w:type="default" r:id="rId11"/>
      <w:headerReference w:type="first" r:id="rId12"/>
      <w:footerReference w:type="first" r:id="rId13"/>
      <w:footnotePr>
        <w:numRestart w:val="eachSect"/>
      </w:footnotePr>
      <w:type w:val="oddPage"/>
      <w:pgSz w:w="9356" w:h="13325" w:code="192"/>
      <w:pgMar w:top="1361" w:right="1134" w:bottom="907" w:left="1134" w:header="907" w:footer="454" w:gutter="0"/>
      <w:pgNumType w:start="21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511" w:rsidRDefault="005A6511">
      <w:r>
        <w:separator/>
      </w:r>
    </w:p>
  </w:endnote>
  <w:endnote w:type="continuationSeparator" w:id="0">
    <w:p w:rsidR="005A6511" w:rsidRDefault="005A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altName w:val="Times New Roman"/>
    <w:panose1 w:val="00000000000000000000"/>
    <w:charset w:val="00"/>
    <w:family w:val="roman"/>
    <w:notTrueType/>
    <w:pitch w:val="variable"/>
    <w:sig w:usb0="E00002AF" w:usb1="5000E07B" w:usb2="00000000" w:usb3="00000000" w:csb0="0000019F" w:csb1="00000000"/>
  </w:font>
  <w:font w:name="Traditional Naskh">
    <w:altName w:val="Arial"/>
    <w:panose1 w:val="02010000000000000000"/>
    <w:charset w:val="B2"/>
    <w:family w:val="auto"/>
    <w:pitch w:val="variable"/>
    <w:sig w:usb0="8000202F" w:usb1="80002008" w:usb2="00000020" w:usb3="00000000" w:csb0="00000040" w:csb1="00000000"/>
  </w:font>
  <w:font w:name="OrigGarmnd BT">
    <w:charset w:val="00"/>
    <w:family w:val="roman"/>
    <w:pitch w:val="variable"/>
    <w:sig w:usb0="00000087" w:usb1="00000000" w:usb2="00000000" w:usb3="00000000" w:csb0="0000001B"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A2"/>
    <w:family w:val="swiss"/>
    <w:pitch w:val="variable"/>
    <w:sig w:usb0="E1002EFF" w:usb1="C000605B" w:usb2="00000029" w:usb3="00000000" w:csb0="000101FF" w:csb1="00000000"/>
  </w:font>
  <w:font w:name="Geeza Pro Bold">
    <w:altName w:val="Times New Roman"/>
    <w:charset w:val="00"/>
    <w:family w:val="roman"/>
    <w:pitch w:val="default"/>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F21" w:rsidRDefault="008A7F2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F21" w:rsidRDefault="008A7F21">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ABB" w:rsidRDefault="006D2ABB" w:rsidP="00975803">
    <w:pPr>
      <w:pStyle w:val="Altbilgi"/>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511" w:rsidRDefault="005A6511">
      <w:r>
        <w:separator/>
      </w:r>
    </w:p>
  </w:footnote>
  <w:footnote w:type="continuationSeparator" w:id="0">
    <w:p w:rsidR="005A6511" w:rsidRDefault="005A6511">
      <w:r>
        <w:separator/>
      </w:r>
    </w:p>
  </w:footnote>
  <w:footnote w:id="1">
    <w:p w:rsidR="006D2ABB" w:rsidRPr="006D2ABB" w:rsidRDefault="006D2ABB" w:rsidP="00497440">
      <w:pPr>
        <w:pStyle w:val="DipnotMetni"/>
        <w:rPr>
          <w:lang w:val="en-US"/>
        </w:rPr>
      </w:pPr>
      <w:r w:rsidRPr="006D2ABB">
        <w:rPr>
          <w:rStyle w:val="DipnotBavurusu"/>
          <w:szCs w:val="18"/>
        </w:rPr>
        <w:t>*</w:t>
      </w:r>
      <w:r w:rsidR="008A7F21">
        <w:t xml:space="preserve"> </w:t>
      </w:r>
      <w:r w:rsidR="00352909">
        <w:t xml:space="preserve">    </w:t>
      </w:r>
      <w:bookmarkStart w:id="0" w:name="_GoBack"/>
      <w:bookmarkEnd w:id="0"/>
      <w:r w:rsidR="008A7F21">
        <w:t>Arş. Gör. Yalova Üniversitesi</w:t>
      </w:r>
      <w:r w:rsidRPr="006D2ABB">
        <w:t xml:space="preserve"> İslami İlimler Fakültesi, cey827@gmail.com</w:t>
      </w:r>
    </w:p>
  </w:footnote>
  <w:footnote w:id="2">
    <w:p w:rsidR="006D2ABB" w:rsidRPr="006D2ABB" w:rsidRDefault="006D2ABB" w:rsidP="00EC65D1">
      <w:pPr>
        <w:pStyle w:val="DipnotMetni"/>
        <w:bidi/>
        <w:rPr>
          <w:b/>
          <w:bCs/>
          <w:rtl/>
          <w:lang w:bidi="ar-IQ"/>
        </w:rPr>
      </w:pPr>
      <w:r w:rsidRPr="006D2ABB">
        <w:rPr>
          <w:rStyle w:val="DipnotBavurusu"/>
          <w:szCs w:val="18"/>
        </w:rPr>
        <w:footnoteRef/>
      </w:r>
      <w:r w:rsidRPr="006D2ABB">
        <w:rPr>
          <w:rFonts w:eastAsia="Traditional Arabic"/>
          <w:rtl/>
          <w:lang w:val="ar-SA"/>
        </w:rPr>
        <w:t xml:space="preserve"> </w:t>
      </w:r>
      <w:r w:rsidRPr="006D2ABB">
        <w:rPr>
          <w:rStyle w:val="DipnotBavurusu"/>
          <w:szCs w:val="18"/>
          <w:rtl/>
        </w:rPr>
        <w:tab/>
      </w:r>
      <w:r w:rsidRPr="006D2ABB">
        <w:rPr>
          <w:rFonts w:eastAsia="Traditional Arabic"/>
          <w:rtl/>
          <w:lang w:val="ar-SA"/>
        </w:rPr>
        <w:t xml:space="preserve">طاشكبري زاده، أحمد بن مصطفى، الشقائق النعمانية في علماء الدولة العثمانية، دار الكتاب العربي، بيروت، عام 1395هـ/ 1975م، ص70؛  كاتب جلبي، مصطفى بن عبد الله، كشف الظنون عن أسامي الكتب والفنون، </w:t>
      </w:r>
      <w:r w:rsidRPr="006D2ABB">
        <w:rPr>
          <w:rtl/>
          <w:lang w:val="ar-SA"/>
        </w:rPr>
        <w:t>دار إحياء التراث</w:t>
      </w:r>
      <w:r w:rsidRPr="006D2ABB">
        <w:rPr>
          <w:rFonts w:eastAsia="Traditional Arabic"/>
          <w:rtl/>
          <w:lang w:val="ar-SA"/>
        </w:rPr>
        <w:t xml:space="preserve"> العربي، بيروت، بدون تاريخ، 1/351؛ السخاوي، أبو الخير شمس الدين، الضوء اللامع لأهل القرن التاسع، </w:t>
      </w:r>
      <w:r w:rsidRPr="006D2ABB">
        <w:rPr>
          <w:rtl/>
          <w:lang w:val="ar-SA"/>
        </w:rPr>
        <w:t>دار مكتبة العلمية، بيروت، بدون تاريخ، 8/279؛ الكحالة، عمر بن رضا، معجم المؤلفين، الطبعة الأولي، مؤسسة الريالة، بيروت، 1414/1993، 3/584.</w:t>
      </w:r>
    </w:p>
  </w:footnote>
  <w:footnote w:id="3">
    <w:p w:rsidR="006D2ABB" w:rsidRPr="006D2ABB" w:rsidRDefault="006D2ABB" w:rsidP="00EC65D1">
      <w:pPr>
        <w:pStyle w:val="DipnotMetni"/>
        <w:bidi/>
        <w:rPr>
          <w:rFonts w:ascii="Times New Roman" w:hAnsi="Times New Roman" w:cs="Times New Roman"/>
          <w:rtl/>
        </w:rPr>
      </w:pPr>
      <w:r w:rsidRPr="006D2ABB">
        <w:rPr>
          <w:vertAlign w:val="superscript"/>
          <w:rtl/>
          <w:lang w:val="ar-SA"/>
        </w:rPr>
        <w:footnoteRef/>
      </w:r>
      <w:r w:rsidRPr="006D2ABB">
        <w:rPr>
          <w:rFonts w:hint="cs"/>
          <w:rtl/>
          <w:lang w:val="ar-SA"/>
        </w:rPr>
        <w:t xml:space="preserve"> </w:t>
      </w:r>
      <w:r w:rsidRPr="006D2ABB">
        <w:rPr>
          <w:vertAlign w:val="superscript"/>
          <w:rtl/>
          <w:lang w:val="ar-SA"/>
        </w:rPr>
        <w:tab/>
      </w:r>
      <w:r w:rsidRPr="006D2ABB">
        <w:rPr>
          <w:rFonts w:hint="cs"/>
          <w:rtl/>
          <w:lang w:val="ar-SA"/>
        </w:rPr>
        <w:t xml:space="preserve">يوجد خطأ بعض معلومات في هذا الموضوع وليس جده من أهل الكفر. يقصد هنا ديار الروم سيواس- طوقات؛ التي يوجد فيها قبيلة أرْساق/ وَارْساق التركماني. وذكره السيوطي في نظم العقيان كنيته السيواسي ولسيت الرومي (السيوطي، جلال الدين، نظم العقيان، </w:t>
      </w:r>
      <w:r w:rsidRPr="006D2ABB">
        <w:rPr>
          <w:rFonts w:hint="cs"/>
          <w:rtl/>
        </w:rPr>
        <w:t>المكتبة العلمية، بيروت، بدون تاريخ</w:t>
      </w:r>
      <w:r w:rsidRPr="006D2ABB">
        <w:rPr>
          <w:rFonts w:hint="cs"/>
          <w:rtl/>
          <w:lang w:val="ar-SA"/>
        </w:rPr>
        <w:t xml:space="preserve">، ص 109). وقد كتب ملا خسرو اسم جده علي في خاتمة درر الحكام. (ملا خسرو، محمد بن فرامرز، درر الحكام شرح غرر الأحكام، مطبعة ونشر الفضيلية، إسطنبول، 1978، 2/453). يراجع: </w:t>
      </w:r>
      <w:r w:rsidRPr="006D2ABB">
        <w:rPr>
          <w:rFonts w:ascii="Times New Roman" w:hAnsi="Times New Roman" w:cs="Times New Roman"/>
        </w:rPr>
        <w:t xml:space="preserve">Ferhat Koca, “Molla Hüsrev” </w:t>
      </w:r>
      <w:r w:rsidRPr="006D2ABB">
        <w:rPr>
          <w:rFonts w:ascii="Times New Roman" w:hAnsi="Times New Roman" w:cs="Times New Roman"/>
          <w:i/>
          <w:iCs/>
        </w:rPr>
        <w:t xml:space="preserve">TDV İslâm Ansiklopedisi </w:t>
      </w:r>
      <w:r w:rsidRPr="006D2ABB">
        <w:rPr>
          <w:rFonts w:ascii="Times New Roman" w:hAnsi="Times New Roman" w:cs="Times New Roman"/>
        </w:rPr>
        <w:t>(</w:t>
      </w:r>
      <w:r w:rsidRPr="006D2ABB">
        <w:rPr>
          <w:rFonts w:ascii="Times New Roman" w:hAnsi="Times New Roman" w:cs="Times New Roman"/>
          <w:i/>
          <w:iCs/>
        </w:rPr>
        <w:t>DİA</w:t>
      </w:r>
      <w:r w:rsidRPr="006D2ABB">
        <w:rPr>
          <w:rFonts w:ascii="Times New Roman" w:hAnsi="Times New Roman" w:cs="Times New Roman"/>
        </w:rPr>
        <w:t>) Ankara 2005 XXX/ 252.</w:t>
      </w:r>
    </w:p>
  </w:footnote>
  <w:footnote w:id="4">
    <w:p w:rsidR="006D2ABB" w:rsidRPr="006D2ABB" w:rsidRDefault="006D2ABB" w:rsidP="00EC65D1">
      <w:pPr>
        <w:pStyle w:val="DipnotMetni"/>
        <w:bidi/>
        <w:rPr>
          <w:rtl/>
        </w:rPr>
      </w:pPr>
      <w:r w:rsidRPr="006D2ABB">
        <w:rPr>
          <w:vertAlign w:val="superscript"/>
          <w:rtl/>
        </w:rPr>
        <w:footnoteRef/>
      </w:r>
      <w:r w:rsidRPr="006D2ABB">
        <w:rPr>
          <w:rFonts w:hint="cs"/>
          <w:rtl/>
        </w:rPr>
        <w:t xml:space="preserve"> </w:t>
      </w:r>
      <w:r w:rsidRPr="006D2ABB">
        <w:rPr>
          <w:vertAlign w:val="superscript"/>
          <w:rtl/>
        </w:rPr>
        <w:tab/>
      </w:r>
      <w:r w:rsidRPr="006D2ABB">
        <w:rPr>
          <w:rFonts w:hint="cs"/>
          <w:rtl/>
        </w:rPr>
        <w:t>طاشْكُبْري زَادَهْ، الشقائق النعمانية، ص 70؛ ابن العماد، عبد الحي أبو الفلاح، شذرات الذهب في أخبار من ذهب، ،تحقيق محمود الأرناؤوط، الطبعة الأولى، دار ابن كثير، بيروت، 1413هـ/1993م، 9/512؛ اللكنوي، محمد بن عبد الحي، الفوائد البهية في تراجم الحنفية ، الطبعة الأولى، مطبعة السعادة، مصر، 1324 هـ.، ص 184؛ الزركلي، خير الدين بن محمود، الأعلام، الطبعة الثانية، بدون تاريخ، 7/219.</w:t>
      </w:r>
    </w:p>
  </w:footnote>
  <w:footnote w:id="5">
    <w:p w:rsidR="006D2ABB" w:rsidRPr="006D2ABB" w:rsidRDefault="006D2ABB" w:rsidP="00EC65D1">
      <w:pPr>
        <w:pStyle w:val="DipnotMetni"/>
        <w:bidi/>
        <w:rPr>
          <w:rtl/>
        </w:rPr>
      </w:pPr>
      <w:r w:rsidRPr="006D2ABB">
        <w:rPr>
          <w:vertAlign w:val="superscript"/>
          <w:rtl/>
        </w:rPr>
        <w:footnoteRef/>
      </w:r>
      <w:r w:rsidRPr="006D2ABB">
        <w:rPr>
          <w:rFonts w:hint="cs"/>
          <w:rtl/>
        </w:rPr>
        <w:t xml:space="preserve"> </w:t>
      </w:r>
      <w:r w:rsidRPr="006D2ABB">
        <w:rPr>
          <w:vertAlign w:val="superscript"/>
          <w:rtl/>
        </w:rPr>
        <w:tab/>
      </w:r>
      <w:r w:rsidRPr="006D2ABB">
        <w:rPr>
          <w:rFonts w:hint="cs"/>
          <w:rtl/>
        </w:rPr>
        <w:t>طاشْكُبْري زَادَهْ، الشقائق النعمانية ، ص 70؛ ابن العماد، شذرات الذهب ، 9/512؛ اللكنوي، الفوائد البهية ، ص184؛ الزركلي، الأعلام، 7/219.</w:t>
      </w:r>
    </w:p>
  </w:footnote>
  <w:footnote w:id="6">
    <w:p w:rsidR="006D2ABB" w:rsidRPr="006D2ABB" w:rsidRDefault="006D2ABB" w:rsidP="00EC65D1">
      <w:pPr>
        <w:pStyle w:val="DipnotMetni"/>
        <w:bidi/>
        <w:rPr>
          <w:rtl/>
        </w:rPr>
      </w:pPr>
      <w:r w:rsidRPr="006D2ABB">
        <w:rPr>
          <w:vertAlign w:val="superscript"/>
          <w:rtl/>
        </w:rPr>
        <w:footnoteRef/>
      </w:r>
      <w:r w:rsidRPr="006D2ABB">
        <w:rPr>
          <w:rFonts w:hint="cs"/>
          <w:rtl/>
        </w:rPr>
        <w:t xml:space="preserve"> </w:t>
      </w:r>
      <w:r w:rsidRPr="006D2ABB">
        <w:rPr>
          <w:vertAlign w:val="superscript"/>
          <w:rtl/>
        </w:rPr>
        <w:tab/>
      </w:r>
      <w:r w:rsidRPr="006D2ABB">
        <w:rPr>
          <w:rFonts w:hint="cs"/>
          <w:rtl/>
        </w:rPr>
        <w:t>وهي تقع في غرب تركيا حالياً.</w:t>
      </w:r>
    </w:p>
  </w:footnote>
  <w:footnote w:id="7">
    <w:p w:rsidR="006D2ABB" w:rsidRPr="006D2ABB" w:rsidRDefault="006D2ABB" w:rsidP="00EC65D1">
      <w:pPr>
        <w:pStyle w:val="DipnotMetni"/>
        <w:bidi/>
        <w:rPr>
          <w:rtl/>
        </w:rPr>
      </w:pPr>
      <w:r w:rsidRPr="006D2ABB">
        <w:rPr>
          <w:rStyle w:val="DipnotBavurusu"/>
          <w:szCs w:val="18"/>
        </w:rPr>
        <w:footnoteRef/>
      </w:r>
      <w:r w:rsidRPr="006D2ABB">
        <w:rPr>
          <w:rFonts w:hint="cs"/>
          <w:rtl/>
        </w:rPr>
        <w:t xml:space="preserve"> </w:t>
      </w:r>
      <w:r w:rsidRPr="006D2ABB">
        <w:rPr>
          <w:rStyle w:val="DipnotBavurusu"/>
          <w:szCs w:val="18"/>
          <w:rtl/>
        </w:rPr>
        <w:tab/>
      </w:r>
      <w:r w:rsidRPr="006D2ABB">
        <w:rPr>
          <w:rFonts w:hint="cs"/>
          <w:rtl/>
        </w:rPr>
        <w:t>طاشْكُبْري زَادَهْ، الشقائق النعمانية، ص 70-71؛ ابن العماد، شذرات الذهب، 9/513؛ اللكنوي، الفوائد البهية، ص 184؛ الزركلي، الأعلام، 7/219؛ الكحالة، معجم المؤلفين، 3/584.</w:t>
      </w:r>
    </w:p>
  </w:footnote>
  <w:footnote w:id="8">
    <w:p w:rsidR="006D2ABB" w:rsidRPr="006D2ABB" w:rsidRDefault="006D2ABB" w:rsidP="00EC65D1">
      <w:pPr>
        <w:pStyle w:val="DipnotMetni"/>
        <w:bidi/>
        <w:rPr>
          <w:rtl/>
        </w:rPr>
      </w:pPr>
      <w:r w:rsidRPr="006D2ABB">
        <w:rPr>
          <w:vertAlign w:val="superscript"/>
          <w:rtl/>
          <w:lang w:val="ar-SA"/>
        </w:rPr>
        <w:footnoteRef/>
      </w:r>
      <w:r w:rsidRPr="006D2ABB">
        <w:rPr>
          <w:rFonts w:hint="cs"/>
          <w:rtl/>
          <w:lang w:val="ar-SA"/>
        </w:rPr>
        <w:t xml:space="preserve"> </w:t>
      </w:r>
      <w:r w:rsidRPr="006D2ABB">
        <w:rPr>
          <w:vertAlign w:val="superscript"/>
          <w:rtl/>
          <w:lang w:val="ar-SA"/>
        </w:rPr>
        <w:tab/>
      </w:r>
      <w:r w:rsidRPr="006D2ABB">
        <w:rPr>
          <w:rFonts w:hint="cs"/>
          <w:rtl/>
          <w:lang w:val="ar-SA"/>
        </w:rPr>
        <w:t>وإضافة إلى ذلك قام بترميم عدة مساجد بالقسطنطينية. (الزركلي، الأعلام، 7/219) منها مسجد يحمل إسمه في شهزاده باشا في  إسطنبول.</w:t>
      </w:r>
    </w:p>
  </w:footnote>
  <w:footnote w:id="9">
    <w:p w:rsidR="006D2ABB" w:rsidRPr="006D2ABB" w:rsidRDefault="006D2ABB" w:rsidP="00EC65D1">
      <w:pPr>
        <w:pStyle w:val="DipnotMetni"/>
        <w:bidi/>
        <w:rPr>
          <w:rtl/>
          <w:lang w:val="ar-SA"/>
        </w:rPr>
      </w:pPr>
      <w:r w:rsidRPr="006D2ABB">
        <w:rPr>
          <w:vertAlign w:val="superscript"/>
          <w:rtl/>
          <w:lang w:val="ar-SA"/>
        </w:rPr>
        <w:footnoteRef/>
      </w:r>
      <w:r w:rsidRPr="006D2ABB">
        <w:rPr>
          <w:rFonts w:hint="cs"/>
          <w:rtl/>
          <w:lang w:val="ar-SA"/>
        </w:rPr>
        <w:t xml:space="preserve"> </w:t>
      </w:r>
      <w:r w:rsidRPr="006D2ABB">
        <w:rPr>
          <w:vertAlign w:val="superscript"/>
          <w:rtl/>
          <w:lang w:val="ar-SA"/>
        </w:rPr>
        <w:tab/>
      </w:r>
      <w:r w:rsidRPr="006D2ABB">
        <w:rPr>
          <w:rFonts w:hint="cs"/>
          <w:rtl/>
        </w:rPr>
        <w:t xml:space="preserve">طاشْكُبْري زَادَهْ، الشقائق النعمانية، ص </w:t>
      </w:r>
      <w:r w:rsidRPr="006D2ABB">
        <w:rPr>
          <w:rFonts w:hint="cs"/>
          <w:rtl/>
          <w:lang w:val="ar-SA"/>
        </w:rPr>
        <w:t>70-71،</w:t>
      </w:r>
      <w:r w:rsidRPr="006D2ABB">
        <w:rPr>
          <w:rFonts w:hint="cs"/>
          <w:rtl/>
        </w:rPr>
        <w:t xml:space="preserve"> ابن العماد، شذرات الذهب، 9/513؛</w:t>
      </w:r>
      <w:r w:rsidRPr="006D2ABB">
        <w:rPr>
          <w:rFonts w:hint="cs"/>
          <w:rtl/>
          <w:lang w:val="ar-SA"/>
        </w:rPr>
        <w:t xml:space="preserve"> </w:t>
      </w:r>
      <w:r w:rsidRPr="006D2ABB">
        <w:rPr>
          <w:rFonts w:hint="cs"/>
          <w:rtl/>
        </w:rPr>
        <w:t>اللكنوي، الفوائد البهية،</w:t>
      </w:r>
      <w:r w:rsidRPr="006D2ABB">
        <w:rPr>
          <w:rFonts w:hint="cs"/>
          <w:rtl/>
          <w:lang w:val="ar-SA"/>
        </w:rPr>
        <w:t xml:space="preserve"> ص 184؛ </w:t>
      </w:r>
      <w:r w:rsidRPr="006D2ABB">
        <w:rPr>
          <w:rFonts w:hint="cs"/>
          <w:rtl/>
        </w:rPr>
        <w:t>؛ الزركلي، الأعلام</w:t>
      </w:r>
      <w:r w:rsidRPr="006D2ABB">
        <w:rPr>
          <w:rFonts w:hint="cs"/>
          <w:rtl/>
          <w:lang w:val="ar-SA"/>
        </w:rPr>
        <w:t xml:space="preserve">، 7/219؛ </w:t>
      </w:r>
      <w:r w:rsidRPr="006D2ABB">
        <w:rPr>
          <w:rFonts w:hint="cs"/>
          <w:rtl/>
        </w:rPr>
        <w:t>الكحالة، معجم المؤلفين</w:t>
      </w:r>
      <w:r w:rsidRPr="006D2ABB">
        <w:rPr>
          <w:rFonts w:hint="cs"/>
          <w:rtl/>
          <w:lang w:val="ar-SA"/>
        </w:rPr>
        <w:t xml:space="preserve">، 3/584. </w:t>
      </w:r>
    </w:p>
  </w:footnote>
  <w:footnote w:id="10">
    <w:p w:rsidR="006D2ABB" w:rsidRPr="006D2ABB" w:rsidRDefault="006D2ABB" w:rsidP="00EC65D1">
      <w:pPr>
        <w:pStyle w:val="DipnotMetni"/>
        <w:bidi/>
        <w:rPr>
          <w:rtl/>
        </w:rPr>
      </w:pPr>
      <w:r w:rsidRPr="006D2ABB">
        <w:rPr>
          <w:vertAlign w:val="superscript"/>
          <w:rtl/>
        </w:rPr>
        <w:footnoteRef/>
      </w:r>
      <w:r w:rsidRPr="006D2ABB">
        <w:rPr>
          <w:rFonts w:hint="cs"/>
          <w:rtl/>
        </w:rPr>
        <w:t xml:space="preserve"> </w:t>
      </w:r>
      <w:r w:rsidRPr="006D2ABB">
        <w:rPr>
          <w:vertAlign w:val="superscript"/>
          <w:rtl/>
        </w:rPr>
        <w:tab/>
      </w:r>
      <w:r w:rsidRPr="006D2ABB">
        <w:rPr>
          <w:rFonts w:hint="cs"/>
          <w:rtl/>
        </w:rPr>
        <w:t>طاشْكُبْري زَادَهْ، الشقائق النعمانية، ص 70-71؛ ابن العماد، شذرات الذهب، 9/512؛ اللكنوي، الفوائد البهية، ص 184؛ الزركلي، الأعلام، 7/219.</w:t>
      </w:r>
    </w:p>
  </w:footnote>
  <w:footnote w:id="11">
    <w:p w:rsidR="006D2ABB" w:rsidRPr="006D2ABB" w:rsidRDefault="006D2ABB" w:rsidP="00F142A8">
      <w:pPr>
        <w:pStyle w:val="DipnotMetni"/>
        <w:bidi/>
        <w:rPr>
          <w:rtl/>
        </w:rPr>
      </w:pPr>
      <w:r w:rsidRPr="006D2ABB">
        <w:rPr>
          <w:rStyle w:val="DipnotBavurusu"/>
          <w:szCs w:val="18"/>
        </w:rPr>
        <w:footnoteRef/>
      </w:r>
      <w:r w:rsidRPr="006D2ABB">
        <w:rPr>
          <w:rFonts w:hint="cs"/>
          <w:rtl/>
        </w:rPr>
        <w:t xml:space="preserve"> </w:t>
      </w:r>
      <w:r w:rsidRPr="006D2ABB">
        <w:rPr>
          <w:rStyle w:val="DipnotBavurusu"/>
          <w:szCs w:val="18"/>
          <w:rtl/>
        </w:rPr>
        <w:tab/>
      </w:r>
      <w:r w:rsidRPr="006D2ABB">
        <w:rPr>
          <w:rFonts w:hint="cs"/>
          <w:rtl/>
        </w:rPr>
        <w:t xml:space="preserve"> مات رحمه الله تعالى في أواخر المائة التاسعة.</w:t>
      </w:r>
    </w:p>
  </w:footnote>
  <w:footnote w:id="12">
    <w:p w:rsidR="006D2ABB" w:rsidRPr="006D2ABB" w:rsidRDefault="006D2ABB" w:rsidP="00F142A8">
      <w:pPr>
        <w:pStyle w:val="DipnotMetni"/>
        <w:bidi/>
        <w:rPr>
          <w:rtl/>
        </w:rPr>
      </w:pPr>
      <w:r w:rsidRPr="006D2ABB">
        <w:rPr>
          <w:vertAlign w:val="superscript"/>
          <w:rtl/>
          <w:lang w:val="ar-SA"/>
        </w:rPr>
        <w:footnoteRef/>
      </w:r>
      <w:r w:rsidRPr="006D2ABB">
        <w:rPr>
          <w:rFonts w:hint="cs"/>
          <w:rtl/>
          <w:lang w:val="ar-SA"/>
        </w:rPr>
        <w:t xml:space="preserve"> </w:t>
      </w:r>
      <w:r w:rsidRPr="006D2ABB">
        <w:rPr>
          <w:vertAlign w:val="superscript"/>
          <w:rtl/>
          <w:lang w:val="ar-SA"/>
        </w:rPr>
        <w:tab/>
      </w:r>
      <w:r w:rsidRPr="006D2ABB">
        <w:rPr>
          <w:rFonts w:hint="cs"/>
          <w:rtl/>
          <w:lang w:val="ar-SA"/>
        </w:rPr>
        <w:t xml:space="preserve">طاشْكُبْري زَادَهْ، الشقائق النعمانية، ص 96، 116، 168 ،173، 202؛ اللكنوي، الفوائد البهية، ص 184.  </w:t>
      </w:r>
    </w:p>
  </w:footnote>
  <w:footnote w:id="13">
    <w:p w:rsidR="006D2ABB" w:rsidRPr="006D2ABB" w:rsidRDefault="006D2ABB" w:rsidP="00F142A8">
      <w:pPr>
        <w:pStyle w:val="DipnotMetni"/>
        <w:bidi/>
        <w:rPr>
          <w:rtl/>
        </w:rPr>
      </w:pPr>
      <w:r w:rsidRPr="006D2ABB">
        <w:rPr>
          <w:vertAlign w:val="superscript"/>
          <w:rtl/>
        </w:rPr>
        <w:footnoteRef/>
      </w:r>
      <w:r w:rsidRPr="006D2ABB">
        <w:rPr>
          <w:rFonts w:hint="cs"/>
          <w:rtl/>
        </w:rPr>
        <w:t xml:space="preserve"> </w:t>
      </w:r>
      <w:r w:rsidRPr="006D2ABB">
        <w:rPr>
          <w:vertAlign w:val="superscript"/>
          <w:rtl/>
        </w:rPr>
        <w:tab/>
      </w:r>
      <w:r w:rsidRPr="006D2ABB">
        <w:rPr>
          <w:rFonts w:hint="cs"/>
          <w:rtl/>
        </w:rPr>
        <w:t>السيوطي، نظم العقيان، ص 109.</w:t>
      </w:r>
    </w:p>
  </w:footnote>
  <w:footnote w:id="14">
    <w:p w:rsidR="006D2ABB" w:rsidRPr="006D2ABB" w:rsidRDefault="006D2ABB" w:rsidP="00F142A8">
      <w:pPr>
        <w:pStyle w:val="DipnotMetni"/>
        <w:bidi/>
        <w:rPr>
          <w:rtl/>
        </w:rPr>
      </w:pPr>
      <w:r w:rsidRPr="006D2ABB">
        <w:rPr>
          <w:vertAlign w:val="superscript"/>
          <w:rtl/>
        </w:rPr>
        <w:footnoteRef/>
      </w:r>
      <w:r w:rsidRPr="006D2ABB">
        <w:rPr>
          <w:rFonts w:hint="cs"/>
          <w:rtl/>
        </w:rPr>
        <w:t xml:space="preserve"> </w:t>
      </w:r>
      <w:r w:rsidRPr="006D2ABB">
        <w:rPr>
          <w:vertAlign w:val="superscript"/>
          <w:rtl/>
        </w:rPr>
        <w:tab/>
      </w:r>
      <w:r w:rsidRPr="006D2ABB">
        <w:rPr>
          <w:rFonts w:hint="cs"/>
          <w:rtl/>
        </w:rPr>
        <w:t>طاشْكُبْري زَادَهْ، الشقائق النعمانية، ص 71.</w:t>
      </w:r>
    </w:p>
  </w:footnote>
  <w:footnote w:id="15">
    <w:p w:rsidR="006D2ABB" w:rsidRPr="006D2ABB" w:rsidRDefault="006D2ABB" w:rsidP="00F142A8">
      <w:pPr>
        <w:pStyle w:val="DipnotMetni"/>
        <w:bidi/>
        <w:rPr>
          <w:rtl/>
        </w:rPr>
      </w:pPr>
      <w:r w:rsidRPr="006D2ABB">
        <w:rPr>
          <w:vertAlign w:val="superscript"/>
        </w:rPr>
        <w:footnoteRef/>
      </w:r>
      <w:r w:rsidRPr="006D2ABB">
        <w:rPr>
          <w:rFonts w:hint="cs"/>
          <w:rtl/>
        </w:rPr>
        <w:t xml:space="preserve"> </w:t>
      </w:r>
      <w:r w:rsidRPr="006D2ABB">
        <w:rPr>
          <w:vertAlign w:val="superscript"/>
          <w:rtl/>
        </w:rPr>
        <w:tab/>
      </w:r>
      <w:r w:rsidRPr="006D2ABB">
        <w:rPr>
          <w:rFonts w:hint="cs"/>
          <w:rtl/>
        </w:rPr>
        <w:t>طاشْكُبْري زَادَهْ، الشقائق النعمانية، ص 71.      وهناك كتب أخرى نسخها بخطه: "حل مشكلات الإشارات" لناصر الدين الطوسي، وهو موجود في مكتبة كوبريلي: فاضل محمد باشا، الرقم: 878؛ و"أنوار التنزيل وأسرار التأويل" للقاضي البيضاوي، وهو موجود في مكتبة بايزيد الدولة: مرزيفونلي، الرقم: 57.</w:t>
      </w:r>
    </w:p>
  </w:footnote>
  <w:footnote w:id="16">
    <w:p w:rsidR="006D2ABB" w:rsidRPr="006D2ABB" w:rsidRDefault="006D2ABB" w:rsidP="00F142A8">
      <w:pPr>
        <w:pStyle w:val="DipnotMetni"/>
        <w:bidi/>
        <w:rPr>
          <w:rtl/>
        </w:rPr>
      </w:pPr>
      <w:r w:rsidRPr="006D2ABB">
        <w:rPr>
          <w:vertAlign w:val="superscript"/>
          <w:rtl/>
          <w:lang w:val="ar-SA"/>
        </w:rPr>
        <w:footnoteRef/>
      </w:r>
      <w:r w:rsidRPr="006D2ABB">
        <w:rPr>
          <w:rFonts w:hint="cs"/>
          <w:rtl/>
          <w:lang w:val="ar-SA"/>
        </w:rPr>
        <w:t xml:space="preserve"> </w:t>
      </w:r>
      <w:r w:rsidRPr="006D2ABB">
        <w:rPr>
          <w:vertAlign w:val="superscript"/>
          <w:rtl/>
          <w:lang w:val="ar-SA"/>
        </w:rPr>
        <w:tab/>
      </w:r>
      <w:r w:rsidRPr="006D2ABB">
        <w:rPr>
          <w:rFonts w:hint="cs"/>
          <w:rtl/>
        </w:rPr>
        <w:t>طاشْكُبْري زَادَهْ، الشقائق النعمانية</w:t>
      </w:r>
      <w:r w:rsidRPr="006D2ABB">
        <w:rPr>
          <w:rFonts w:hint="cs"/>
          <w:rtl/>
          <w:lang w:val="ar-SA"/>
        </w:rPr>
        <w:t>، ص 71</w:t>
      </w:r>
      <w:r w:rsidRPr="006D2ABB">
        <w:rPr>
          <w:rFonts w:hint="cs"/>
          <w:rtl/>
        </w:rPr>
        <w:t>.</w:t>
      </w:r>
    </w:p>
  </w:footnote>
  <w:footnote w:id="17">
    <w:p w:rsidR="006D2ABB" w:rsidRPr="006D2ABB" w:rsidRDefault="006D2ABB" w:rsidP="00F142A8">
      <w:pPr>
        <w:pStyle w:val="DipnotMetni"/>
        <w:bidi/>
        <w:rPr>
          <w:rtl/>
        </w:rPr>
      </w:pPr>
      <w:r w:rsidRPr="006D2ABB">
        <w:rPr>
          <w:vertAlign w:val="superscript"/>
          <w:rtl/>
          <w:lang w:val="ar-SA"/>
        </w:rPr>
        <w:footnoteRef/>
      </w:r>
      <w:r w:rsidRPr="006D2ABB">
        <w:rPr>
          <w:rFonts w:hint="cs"/>
          <w:rtl/>
        </w:rPr>
        <w:t xml:space="preserve"> </w:t>
      </w:r>
      <w:r w:rsidRPr="006D2ABB">
        <w:rPr>
          <w:vertAlign w:val="superscript"/>
          <w:rtl/>
          <w:lang w:val="ar-SA"/>
        </w:rPr>
        <w:tab/>
      </w:r>
      <w:r w:rsidRPr="006D2ABB">
        <w:rPr>
          <w:rFonts w:hint="cs"/>
          <w:rtl/>
        </w:rPr>
        <w:t>السيوطي، نظم العقيان</w:t>
      </w:r>
      <w:r w:rsidRPr="006D2ABB">
        <w:rPr>
          <w:rFonts w:hint="cs"/>
          <w:rtl/>
          <w:lang w:val="ar-SA"/>
        </w:rPr>
        <w:t>، ص 109</w:t>
      </w:r>
      <w:r w:rsidRPr="006D2ABB">
        <w:rPr>
          <w:rFonts w:hint="cs"/>
          <w:rtl/>
        </w:rPr>
        <w:t>.</w:t>
      </w:r>
    </w:p>
  </w:footnote>
  <w:footnote w:id="18">
    <w:p w:rsidR="006D2ABB" w:rsidRPr="006D2ABB" w:rsidRDefault="006D2ABB" w:rsidP="00F142A8">
      <w:pPr>
        <w:pStyle w:val="DipnotMetni"/>
        <w:bidi/>
        <w:rPr>
          <w:rtl/>
        </w:rPr>
      </w:pPr>
      <w:r w:rsidRPr="006D2ABB">
        <w:rPr>
          <w:rStyle w:val="DipnotBavurusu"/>
          <w:szCs w:val="18"/>
          <w:rtl/>
          <w:lang w:val="en-US"/>
        </w:rPr>
        <w:footnoteRef/>
      </w:r>
      <w:r w:rsidRPr="006D2ABB">
        <w:rPr>
          <w:rtl/>
        </w:rPr>
        <w:t xml:space="preserve"> </w:t>
      </w:r>
      <w:r w:rsidRPr="006D2ABB">
        <w:rPr>
          <w:rStyle w:val="DipnotBavurusu"/>
          <w:szCs w:val="18"/>
          <w:rtl/>
          <w:lang w:val="en-US"/>
        </w:rPr>
        <w:tab/>
      </w:r>
      <w:r w:rsidRPr="006D2ABB">
        <w:rPr>
          <w:rFonts w:hint="cs"/>
          <w:rtl/>
        </w:rPr>
        <w:t xml:space="preserve">طاشْكُبْري زَادَهْ، الشقائق النعمانية، ص71؛ الزركلي، الأعلام، 7/219؛ الكحالة، معجم المؤلفين، 3/584. </w:t>
      </w:r>
    </w:p>
  </w:footnote>
  <w:footnote w:id="19">
    <w:p w:rsidR="006D2ABB" w:rsidRPr="006D2ABB" w:rsidRDefault="006D2ABB" w:rsidP="00F142A8">
      <w:pPr>
        <w:pStyle w:val="DipnotMetni"/>
        <w:bidi/>
        <w:rPr>
          <w:rtl/>
          <w:lang w:val="ar-SA"/>
        </w:rPr>
      </w:pPr>
      <w:r w:rsidRPr="006D2ABB">
        <w:rPr>
          <w:vertAlign w:val="superscript"/>
          <w:rtl/>
          <w:lang w:val="ar-SA"/>
        </w:rPr>
        <w:footnoteRef/>
      </w:r>
      <w:r w:rsidRPr="006D2ABB">
        <w:rPr>
          <w:rFonts w:hint="cs"/>
          <w:rtl/>
          <w:lang w:val="ar-SA"/>
        </w:rPr>
        <w:t xml:space="preserve"> </w:t>
      </w:r>
      <w:r w:rsidRPr="006D2ABB">
        <w:rPr>
          <w:vertAlign w:val="superscript"/>
          <w:rtl/>
          <w:lang w:val="ar-SA"/>
        </w:rPr>
        <w:tab/>
      </w:r>
      <w:r w:rsidRPr="006D2ABB">
        <w:rPr>
          <w:rFonts w:hint="cs"/>
          <w:rtl/>
          <w:lang w:val="ar-SA"/>
        </w:rPr>
        <w:t>بلمن، عمر ناصوحي، تاريخ التفسير، مطبعة بلمن، إسطنبول، 1974، 2/605.</w:t>
      </w:r>
    </w:p>
    <w:p w:rsidR="006D2ABB" w:rsidRPr="006D2ABB" w:rsidRDefault="006D2ABB" w:rsidP="00DB0C22">
      <w:pPr>
        <w:jc w:val="both"/>
        <w:rPr>
          <w:sz w:val="18"/>
          <w:szCs w:val="18"/>
          <w:rtl/>
        </w:rPr>
      </w:pPr>
    </w:p>
  </w:footnote>
  <w:footnote w:id="20">
    <w:p w:rsidR="006D2ABB" w:rsidRPr="006D2ABB" w:rsidRDefault="006D2ABB" w:rsidP="00F142A8">
      <w:pPr>
        <w:pStyle w:val="DipnotMetni"/>
        <w:bidi/>
        <w:rPr>
          <w:rtl/>
        </w:rPr>
      </w:pPr>
      <w:r w:rsidRPr="006D2ABB">
        <w:rPr>
          <w:vertAlign w:val="superscript"/>
          <w:rtl/>
        </w:rPr>
        <w:footnoteRef/>
      </w:r>
      <w:r w:rsidRPr="006D2ABB">
        <w:rPr>
          <w:rFonts w:hint="cs"/>
          <w:rtl/>
        </w:rPr>
        <w:t xml:space="preserve"> </w:t>
      </w:r>
      <w:r w:rsidRPr="006D2ABB">
        <w:rPr>
          <w:vertAlign w:val="superscript"/>
          <w:rtl/>
        </w:rPr>
        <w:tab/>
      </w:r>
      <w:r w:rsidRPr="006D2ABB">
        <w:rPr>
          <w:rFonts w:hint="cs"/>
          <w:rtl/>
        </w:rPr>
        <w:t xml:space="preserve"> طاشكبري زاده، الشقائق النعمانية، ص 72؛ الزركلي، الأعلام، 7/219؛ اللكنوي، الفوائد البهية، ص 184؛ البغدادي، إسماعيل بن محمد، هدية العارفين أسماء</w:t>
      </w:r>
      <w:r w:rsidRPr="006D2ABB">
        <w:rPr>
          <w:rFonts w:hint="cs"/>
          <w:b/>
          <w:bCs/>
          <w:rtl/>
        </w:rPr>
        <w:t xml:space="preserve"> </w:t>
      </w:r>
      <w:r w:rsidRPr="006D2ABB">
        <w:rPr>
          <w:rFonts w:hint="cs"/>
          <w:rtl/>
        </w:rPr>
        <w:t>المؤلفين وآثار المصنفين، طبع بعناية وكالة المعارف الجليلة في مطبعتها البهية، إسطنبول، 1955، 2/211. يراجع لمعلومات إضافية:</w:t>
      </w:r>
      <w:r w:rsidRPr="006D2ABB">
        <w:rPr>
          <w:rFonts w:ascii="Times New Roman" w:hAnsi="Times New Roman" w:cs="Times New Roman"/>
        </w:rPr>
        <w:t>Ferhat Koca, “Molla Hüsrev” TDV İslâm Ansiklopedisi (DİA) XXX/ 253-254</w:t>
      </w:r>
      <w:r w:rsidRPr="006D2ABB">
        <w:rPr>
          <w:rFonts w:ascii="Times New Roman" w:hAnsi="Times New Roman" w:cs="Times New Roman"/>
          <w:rtl/>
        </w:rPr>
        <w:t xml:space="preserve"> </w:t>
      </w:r>
    </w:p>
  </w:footnote>
  <w:footnote w:id="21">
    <w:p w:rsidR="006D2ABB" w:rsidRPr="006D2ABB" w:rsidRDefault="006D2ABB" w:rsidP="00F142A8">
      <w:pPr>
        <w:pStyle w:val="DipnotMetni"/>
        <w:bidi/>
        <w:rPr>
          <w:rFonts w:eastAsia="Traditional Arabic"/>
        </w:rPr>
      </w:pPr>
      <w:r w:rsidRPr="006D2ABB">
        <w:rPr>
          <w:rFonts w:eastAsia="Traditional Arabic"/>
          <w:vertAlign w:val="superscript"/>
        </w:rPr>
        <w:footnoteRef/>
      </w:r>
      <w:r w:rsidRPr="006D2ABB">
        <w:rPr>
          <w:rFonts w:eastAsia="Traditional Arabic"/>
          <w:rtl/>
        </w:rPr>
        <w:t xml:space="preserve"> </w:t>
      </w:r>
      <w:r w:rsidRPr="006D2ABB">
        <w:rPr>
          <w:rFonts w:eastAsia="Traditional Arabic"/>
          <w:vertAlign w:val="superscript"/>
          <w:rtl/>
        </w:rPr>
        <w:tab/>
      </w:r>
      <w:r w:rsidRPr="006D2ABB">
        <w:rPr>
          <w:rFonts w:eastAsia="Traditional Arabic"/>
          <w:rtl/>
        </w:rPr>
        <w:t>ابن الحبان، أبو حاتم محمد، صحيح ابن الحبان،</w:t>
      </w:r>
      <w:r w:rsidRPr="006D2ABB">
        <w:rPr>
          <w:rFonts w:hint="cs"/>
          <w:rtl/>
        </w:rPr>
        <w:t xml:space="preserve"> </w:t>
      </w:r>
      <w:r w:rsidRPr="006D2ABB">
        <w:rPr>
          <w:rFonts w:eastAsia="Traditional Arabic"/>
          <w:rtl/>
        </w:rPr>
        <w:t>رتبه الأمير علاء الدين علي بن بلبان، تحقيق شعيب الأرنؤوط، الطبعة الثانية، دار الكتب العلمية، بيروت، 1414هـ/1993م، 1/173؛ العسقلاني، ابن حجر، فتح الباري شرح صحيح البخاري، مكتبة الكليات الأزهرية، القاهرة، 1398هـ/ 1978م، 1/8.</w:t>
      </w:r>
    </w:p>
  </w:footnote>
  <w:footnote w:id="22">
    <w:p w:rsidR="006D2ABB" w:rsidRPr="006D2ABB" w:rsidRDefault="006D2ABB" w:rsidP="00F142A8">
      <w:pPr>
        <w:pStyle w:val="DipnotMetni"/>
        <w:bidi/>
        <w:rPr>
          <w:rtl/>
        </w:rPr>
      </w:pPr>
      <w:r w:rsidRPr="006D2ABB">
        <w:rPr>
          <w:vertAlign w:val="superscript"/>
          <w:rtl/>
        </w:rPr>
        <w:footnoteRef/>
      </w:r>
      <w:r w:rsidRPr="006D2ABB">
        <w:rPr>
          <w:rFonts w:hint="cs"/>
          <w:rtl/>
        </w:rPr>
        <w:t xml:space="preserve"> </w:t>
      </w:r>
      <w:r w:rsidRPr="006D2ABB">
        <w:rPr>
          <w:vertAlign w:val="superscript"/>
          <w:rtl/>
        </w:rPr>
        <w:tab/>
      </w:r>
      <w:r w:rsidRPr="006D2ABB">
        <w:rPr>
          <w:rFonts w:hint="cs"/>
          <w:rtl/>
        </w:rPr>
        <w:t>بروكلمان، كارل، Supplementband ، مطبعة بريل، ليدن، 1938، 2/317.</w:t>
      </w:r>
    </w:p>
  </w:footnote>
  <w:footnote w:id="23">
    <w:p w:rsidR="006D2ABB" w:rsidRPr="006D2ABB" w:rsidRDefault="006D2ABB" w:rsidP="00F142A8">
      <w:pPr>
        <w:pStyle w:val="DipnotMetni"/>
        <w:bidi/>
        <w:rPr>
          <w:rFonts w:eastAsia="Traditional Arabic"/>
          <w:rtl/>
        </w:rPr>
      </w:pPr>
      <w:r w:rsidRPr="006D2ABB">
        <w:rPr>
          <w:rFonts w:eastAsia="Traditional Arabic"/>
          <w:vertAlign w:val="superscript"/>
          <w:rtl/>
        </w:rPr>
        <w:footnoteRef/>
      </w:r>
      <w:r w:rsidRPr="006D2ABB">
        <w:rPr>
          <w:rFonts w:eastAsia="Traditional Arabic"/>
          <w:rtl/>
        </w:rPr>
        <w:t xml:space="preserve"> </w:t>
      </w:r>
      <w:r w:rsidRPr="006D2ABB">
        <w:rPr>
          <w:rFonts w:eastAsia="Traditional Arabic"/>
          <w:vertAlign w:val="superscript"/>
          <w:rtl/>
        </w:rPr>
        <w:tab/>
      </w:r>
      <w:r w:rsidRPr="006D2ABB">
        <w:rPr>
          <w:rFonts w:eastAsia="Traditional Arabic"/>
          <w:rtl/>
        </w:rPr>
        <w:t>نشكر لفضيلة الدكتور صلاح سالم عثمان رئيس قسم التفسير وعلوم القرآن.</w:t>
      </w:r>
    </w:p>
  </w:footnote>
  <w:footnote w:id="24">
    <w:p w:rsidR="006D2ABB" w:rsidRPr="006D2ABB" w:rsidRDefault="006D2ABB" w:rsidP="00EC65D1">
      <w:pPr>
        <w:pStyle w:val="DipnotMetni"/>
        <w:bidi/>
        <w:rPr>
          <w:rtl/>
        </w:rPr>
      </w:pPr>
      <w:r w:rsidRPr="006D2ABB">
        <w:rPr>
          <w:vertAlign w:val="superscript"/>
          <w:rtl/>
          <w:lang w:val="ar-SA"/>
        </w:rPr>
        <w:footnoteRef/>
      </w:r>
      <w:r w:rsidRPr="006D2ABB">
        <w:rPr>
          <w:rFonts w:hint="cs"/>
          <w:rtl/>
        </w:rPr>
        <w:t xml:space="preserve"> </w:t>
      </w:r>
      <w:r w:rsidRPr="006D2ABB">
        <w:rPr>
          <w:vertAlign w:val="superscript"/>
          <w:rtl/>
          <w:lang w:val="ar-SA"/>
        </w:rPr>
        <w:tab/>
      </w:r>
      <w:r w:rsidRPr="006D2ABB">
        <w:rPr>
          <w:rFonts w:hint="cs"/>
          <w:rtl/>
        </w:rPr>
        <w:t xml:space="preserve">ق - محمد.  </w:t>
      </w:r>
    </w:p>
  </w:footnote>
  <w:footnote w:id="25">
    <w:p w:rsidR="006D2ABB" w:rsidRPr="006D2ABB" w:rsidRDefault="006D2ABB" w:rsidP="00EC65D1">
      <w:pPr>
        <w:pStyle w:val="DipnotMetni"/>
        <w:bidi/>
        <w:rPr>
          <w:rtl/>
        </w:rPr>
      </w:pPr>
      <w:r w:rsidRPr="006D2ABB">
        <w:rPr>
          <w:vertAlign w:val="superscript"/>
          <w:rtl/>
          <w:lang w:val="ar-SA"/>
        </w:rPr>
        <w:footnoteRef/>
      </w:r>
      <w:r w:rsidRPr="006D2ABB">
        <w:rPr>
          <w:rFonts w:hint="cs"/>
          <w:rtl/>
        </w:rPr>
        <w:t xml:space="preserve"> </w:t>
      </w:r>
      <w:r w:rsidRPr="006D2ABB">
        <w:rPr>
          <w:vertAlign w:val="superscript"/>
          <w:rtl/>
          <w:lang w:val="ar-SA"/>
        </w:rPr>
        <w:tab/>
      </w:r>
      <w:r w:rsidRPr="006D2ABB">
        <w:rPr>
          <w:rFonts w:hint="cs"/>
          <w:rtl/>
        </w:rPr>
        <w:t>ق: وبعد.</w:t>
      </w:r>
    </w:p>
  </w:footnote>
  <w:footnote w:id="26">
    <w:p w:rsidR="006D2ABB" w:rsidRPr="006D2ABB" w:rsidRDefault="006D2ABB" w:rsidP="00EC65D1">
      <w:pPr>
        <w:pStyle w:val="DipnotMetni"/>
        <w:bidi/>
        <w:rPr>
          <w:rtl/>
        </w:rPr>
      </w:pPr>
      <w:r w:rsidRPr="006D2ABB">
        <w:rPr>
          <w:vertAlign w:val="superscript"/>
          <w:rtl/>
        </w:rPr>
        <w:footnoteRef/>
      </w:r>
      <w:r w:rsidRPr="006D2ABB">
        <w:rPr>
          <w:rFonts w:hint="cs"/>
          <w:rtl/>
        </w:rPr>
        <w:t xml:space="preserve"> </w:t>
      </w:r>
      <w:r w:rsidRPr="006D2ABB">
        <w:rPr>
          <w:vertAlign w:val="superscript"/>
          <w:rtl/>
        </w:rPr>
        <w:tab/>
      </w:r>
      <w:r w:rsidRPr="006D2ABB">
        <w:rPr>
          <w:rFonts w:hint="cs"/>
          <w:rtl/>
        </w:rPr>
        <w:t xml:space="preserve">ق: من.  </w:t>
      </w:r>
    </w:p>
  </w:footnote>
  <w:footnote w:id="27">
    <w:p w:rsidR="006D2ABB" w:rsidRPr="006D2ABB" w:rsidRDefault="006D2ABB" w:rsidP="00EC65D1">
      <w:pPr>
        <w:pStyle w:val="DipnotMetni"/>
        <w:bidi/>
        <w:rPr>
          <w:rtl/>
        </w:rPr>
      </w:pPr>
      <w:r w:rsidRPr="006D2ABB">
        <w:rPr>
          <w:vertAlign w:val="superscript"/>
          <w:rtl/>
          <w:lang w:val="ar-SA"/>
        </w:rPr>
        <w:footnoteRef/>
      </w:r>
      <w:r w:rsidRPr="006D2ABB">
        <w:rPr>
          <w:rFonts w:hint="cs"/>
          <w:rtl/>
        </w:rPr>
        <w:t xml:space="preserve"> </w:t>
      </w:r>
      <w:r w:rsidRPr="006D2ABB">
        <w:rPr>
          <w:vertAlign w:val="superscript"/>
          <w:rtl/>
          <w:lang w:val="ar-SA"/>
        </w:rPr>
        <w:tab/>
      </w:r>
      <w:r w:rsidRPr="006D2ABB">
        <w:rPr>
          <w:rFonts w:hint="cs"/>
          <w:rtl/>
        </w:rPr>
        <w:t xml:space="preserve">ق - من.   </w:t>
      </w:r>
    </w:p>
  </w:footnote>
  <w:footnote w:id="28">
    <w:p w:rsidR="006D2ABB" w:rsidRPr="006D2ABB" w:rsidRDefault="006D2ABB" w:rsidP="00EC65D1">
      <w:pPr>
        <w:pStyle w:val="DipnotMetni"/>
        <w:bidi/>
        <w:rPr>
          <w:rtl/>
        </w:rPr>
      </w:pPr>
      <w:r w:rsidRPr="006D2ABB">
        <w:rPr>
          <w:vertAlign w:val="superscript"/>
          <w:rtl/>
          <w:lang w:val="ar-SA"/>
        </w:rPr>
        <w:footnoteRef/>
      </w:r>
      <w:r w:rsidRPr="006D2ABB">
        <w:rPr>
          <w:rFonts w:hint="cs"/>
          <w:rtl/>
        </w:rPr>
        <w:t xml:space="preserve"> </w:t>
      </w:r>
      <w:r w:rsidRPr="006D2ABB">
        <w:rPr>
          <w:vertAlign w:val="superscript"/>
          <w:rtl/>
          <w:lang w:val="ar-SA"/>
        </w:rPr>
        <w:tab/>
      </w:r>
      <w:r w:rsidRPr="006D2ABB">
        <w:rPr>
          <w:rFonts w:hint="cs"/>
          <w:rtl/>
        </w:rPr>
        <w:t>ق</w:t>
      </w:r>
      <w:r w:rsidRPr="006D2ABB">
        <w:rPr>
          <w:rFonts w:hint="cs"/>
          <w:rtl/>
          <w:lang w:val="ar-SA"/>
        </w:rPr>
        <w:t>: عطم.      الطاء مهملة.</w:t>
      </w:r>
    </w:p>
  </w:footnote>
  <w:footnote w:id="29">
    <w:p w:rsidR="006D2ABB" w:rsidRPr="006D2ABB" w:rsidRDefault="006D2ABB" w:rsidP="00EC65D1">
      <w:pPr>
        <w:pStyle w:val="DipnotMetni"/>
        <w:bidi/>
        <w:rPr>
          <w:rtl/>
        </w:rPr>
      </w:pPr>
      <w:r w:rsidRPr="006D2ABB">
        <w:rPr>
          <w:vertAlign w:val="superscript"/>
          <w:rtl/>
        </w:rPr>
        <w:footnoteRef/>
      </w:r>
      <w:r w:rsidRPr="006D2ABB">
        <w:rPr>
          <w:rFonts w:hint="cs"/>
          <w:rtl/>
        </w:rPr>
        <w:t xml:space="preserve"> </w:t>
      </w:r>
      <w:r w:rsidRPr="006D2ABB">
        <w:rPr>
          <w:vertAlign w:val="superscript"/>
          <w:rtl/>
        </w:rPr>
        <w:tab/>
      </w:r>
      <w:r w:rsidRPr="006D2ABB">
        <w:rPr>
          <w:rFonts w:hint="cs"/>
          <w:rtl/>
        </w:rPr>
        <w:t>بمعني أتبع كما جاء في القاموس المحيط. انظر: الفيروزآبادي، مجد الدين محمد بن يعقوب، القاموس المحيط، «قفي»، الطبعة الثالثة، بيروت، 1413 هـ/ 1993م.</w:t>
      </w:r>
    </w:p>
  </w:footnote>
  <w:footnote w:id="30">
    <w:p w:rsidR="006D2ABB" w:rsidRPr="006D2ABB" w:rsidRDefault="006D2ABB" w:rsidP="00EC65D1">
      <w:pPr>
        <w:pStyle w:val="DipnotMetni"/>
        <w:bidi/>
        <w:rPr>
          <w:b/>
          <w:bCs/>
          <w:rtl/>
        </w:rPr>
      </w:pPr>
      <w:r w:rsidRPr="006D2ABB">
        <w:rPr>
          <w:vertAlign w:val="superscript"/>
        </w:rPr>
        <w:footnoteRef/>
      </w:r>
      <w:r w:rsidRPr="006D2ABB">
        <w:rPr>
          <w:rFonts w:hint="cs"/>
          <w:rtl/>
        </w:rPr>
        <w:t xml:space="preserve"> </w:t>
      </w:r>
      <w:r w:rsidRPr="006D2ABB">
        <w:rPr>
          <w:vertAlign w:val="superscript"/>
          <w:rtl/>
        </w:rPr>
        <w:tab/>
      </w:r>
      <w:r w:rsidRPr="006D2ABB">
        <w:rPr>
          <w:rFonts w:hint="cs"/>
          <w:rtl/>
        </w:rPr>
        <w:t>اللُّجّ: معظم الماء وخصّ بعضهم به معظم البحر. اللُّجَّةُ: الماء الكثير الذي لَا يُرى طَرفاه. انظر: ابن منظور، أبو الفضل جمال الدين، لسان العرب، «لجج»، الطبعة الثالثة، دار صادر، بيروت، 1414هـ/ 1994م؛ الزبيدي، أبو الفيض محمد بن محمد بن عبد الرزاق، تاج العروس</w:t>
      </w:r>
      <w:r w:rsidRPr="006D2ABB">
        <w:rPr>
          <w:rFonts w:hint="cs"/>
          <w:b/>
          <w:bCs/>
          <w:rtl/>
        </w:rPr>
        <w:t xml:space="preserve"> </w:t>
      </w:r>
      <w:r w:rsidRPr="006D2ABB">
        <w:rPr>
          <w:rFonts w:hint="cs"/>
          <w:rtl/>
        </w:rPr>
        <w:t>من جواهر القاموس، «لجج»، دار الهداية، بدون تاريخ.</w:t>
      </w:r>
    </w:p>
  </w:footnote>
  <w:footnote w:id="31">
    <w:p w:rsidR="006D2ABB" w:rsidRPr="006D2ABB" w:rsidRDefault="006D2ABB" w:rsidP="00EC65D1">
      <w:pPr>
        <w:pStyle w:val="DipnotMetni"/>
        <w:bidi/>
        <w:rPr>
          <w:rtl/>
        </w:rPr>
      </w:pPr>
      <w:r w:rsidRPr="006D2ABB">
        <w:rPr>
          <w:vertAlign w:val="superscript"/>
          <w:rtl/>
        </w:rPr>
        <w:footnoteRef/>
      </w:r>
      <w:r w:rsidRPr="006D2ABB">
        <w:rPr>
          <w:rFonts w:hint="cs"/>
          <w:rtl/>
        </w:rPr>
        <w:t xml:space="preserve"> </w:t>
      </w:r>
      <w:r w:rsidRPr="006D2ABB">
        <w:rPr>
          <w:vertAlign w:val="superscript"/>
          <w:rtl/>
        </w:rPr>
        <w:tab/>
      </w:r>
      <w:r w:rsidRPr="006D2ABB">
        <w:rPr>
          <w:rFonts w:hint="cs"/>
          <w:rtl/>
        </w:rPr>
        <w:t>ق: يصير</w:t>
      </w:r>
    </w:p>
  </w:footnote>
  <w:footnote w:id="32">
    <w:p w:rsidR="006D2ABB" w:rsidRPr="006D2ABB" w:rsidRDefault="006D2ABB" w:rsidP="00EC65D1">
      <w:pPr>
        <w:pStyle w:val="DipnotMetni"/>
        <w:bidi/>
        <w:rPr>
          <w:rtl/>
        </w:rPr>
      </w:pPr>
      <w:r w:rsidRPr="006D2ABB">
        <w:rPr>
          <w:vertAlign w:val="superscript"/>
          <w:rtl/>
        </w:rPr>
        <w:footnoteRef/>
      </w:r>
      <w:r w:rsidRPr="006D2ABB">
        <w:rPr>
          <w:rFonts w:hint="cs"/>
          <w:rtl/>
        </w:rPr>
        <w:t xml:space="preserve"> </w:t>
      </w:r>
      <w:r w:rsidRPr="006D2ABB">
        <w:rPr>
          <w:vertAlign w:val="superscript"/>
          <w:rtl/>
        </w:rPr>
        <w:tab/>
      </w:r>
      <w:r w:rsidRPr="006D2ABB">
        <w:rPr>
          <w:rFonts w:hint="cs"/>
          <w:rtl/>
        </w:rPr>
        <w:t>يدافع ملا خسرو عن رأي أهل السنة والجماعة في مسألة رؤية الله عياناً في الدنيا: ويرى بأنه لا يمكن رؤية الله في الدنيا عياناً ويستدل على هذا بالأحاديث، وكذلك يحاول أن يؤول ويجد مخرجاً  لقول الصوفية الذي ظاهره يوهم أنه يمكن رؤية الله بعين الباصرة. وذكرت هذا الموضوع أكثر تفصيلاً في باب خصائص الرسال.</w:t>
      </w:r>
    </w:p>
  </w:footnote>
  <w:footnote w:id="33">
    <w:p w:rsidR="006D2ABB" w:rsidRPr="006D2ABB" w:rsidRDefault="006D2ABB" w:rsidP="00EC65D1">
      <w:pPr>
        <w:pStyle w:val="DipnotMetni"/>
        <w:bidi/>
        <w:rPr>
          <w:rtl/>
        </w:rPr>
      </w:pPr>
      <w:r w:rsidRPr="006D2ABB">
        <w:rPr>
          <w:vertAlign w:val="superscript"/>
        </w:rPr>
        <w:footnoteRef/>
      </w:r>
      <w:r w:rsidRPr="006D2ABB">
        <w:rPr>
          <w:rFonts w:hint="cs"/>
          <w:rtl/>
        </w:rPr>
        <w:t xml:space="preserve"> </w:t>
      </w:r>
      <w:r w:rsidRPr="006D2ABB">
        <w:rPr>
          <w:vertAlign w:val="superscript"/>
          <w:rtl/>
        </w:rPr>
        <w:tab/>
      </w:r>
      <w:r w:rsidRPr="006D2ABB">
        <w:rPr>
          <w:rFonts w:hint="cs"/>
          <w:rtl/>
        </w:rPr>
        <w:t>مسلم، الفتن وأشراط الساعة، 95 ؛الترمذي، الفتن، 56.</w:t>
      </w:r>
    </w:p>
  </w:footnote>
  <w:footnote w:id="34">
    <w:p w:rsidR="006D2ABB" w:rsidRPr="006D2ABB" w:rsidRDefault="006D2ABB" w:rsidP="00881BC1">
      <w:pPr>
        <w:pStyle w:val="DipnotMetni"/>
        <w:bidi/>
        <w:rPr>
          <w:rtl/>
        </w:rPr>
      </w:pPr>
      <w:r w:rsidRPr="006D2ABB">
        <w:rPr>
          <w:rFonts w:eastAsia="Traditional Arabic"/>
          <w:vertAlign w:val="superscript"/>
          <w:rtl/>
        </w:rPr>
        <w:footnoteRef/>
      </w:r>
      <w:r w:rsidRPr="006D2ABB">
        <w:rPr>
          <w:rFonts w:eastAsia="Traditional Arabic"/>
          <w:rtl/>
        </w:rPr>
        <w:t xml:space="preserve"> </w:t>
      </w:r>
      <w:r w:rsidRPr="006D2ABB">
        <w:rPr>
          <w:rFonts w:eastAsia="Traditional Arabic"/>
          <w:vertAlign w:val="superscript"/>
          <w:rtl/>
        </w:rPr>
        <w:tab/>
      </w:r>
      <w:r w:rsidRPr="006D2ABB">
        <w:rPr>
          <w:rFonts w:eastAsia="Traditional Arabic"/>
          <w:rtl/>
        </w:rPr>
        <w:t xml:space="preserve">مسلم، الإيمان، 291؛ الترمذي، تفسير القرآن، 53.      وقد علق على هذا الحديث محمد فؤاد عبد الباقي:«نور أنى أراه» هكذا رواه جميع الرواة في جميع الأصول والروايات ومعناه: حجابه النور فكيف أراه ؟ قال الإمام أبو عبد الله المازري رحمه الله: الضمير في (أراه) عائد على الله سبحانه وتعالى ومعناه: أن النور مَنَعني من الرؤية،  كما جرت العادة بإغشاء الأنوار الأبصار، ومنعها من إدراك ما حالت بين الرائي وبينه. (مسلم، الإيمان، 291). وجاء في رواية أخرى: عن قتادة عن عبدالله بن شقيق قال: قلت لأبي ذر لو رأيت رسول الله (صلى الله عليه وسلم) لسألته فقال: عن أي شيء كنت تسأله؟ قال: كنت أسأله هل رأيت ربك؟ قال أبو ذر رضي الله عنه: قد سألت. فقال: «رأيت  نوراً». ( علق على هذا الحديث محمد فؤاد عبد الباقي: «رأيت نورا» معناه رأيت النور فحسب ولم أر غيره. مسلم، الإيمان، 291). </w:t>
      </w:r>
    </w:p>
  </w:footnote>
  <w:footnote w:id="35">
    <w:p w:rsidR="006D2ABB" w:rsidRPr="006D2ABB" w:rsidRDefault="006D2ABB" w:rsidP="006D2ABB">
      <w:pPr>
        <w:pStyle w:val="DipnotMetni"/>
        <w:bidi/>
        <w:rPr>
          <w:rtl/>
        </w:rPr>
      </w:pPr>
      <w:r w:rsidRPr="006D2ABB">
        <w:rPr>
          <w:rStyle w:val="DipnotBavurusu"/>
          <w:szCs w:val="18"/>
          <w:rtl/>
        </w:rPr>
        <w:footnoteRef/>
      </w:r>
      <w:r w:rsidRPr="006D2ABB">
        <w:rPr>
          <w:rStyle w:val="DipnotBavurusu"/>
          <w:rFonts w:hint="cs"/>
          <w:szCs w:val="18"/>
          <w:rtl/>
        </w:rPr>
        <w:t xml:space="preserve"> </w:t>
      </w:r>
      <w:r w:rsidRPr="006D2ABB">
        <w:rPr>
          <w:rStyle w:val="DipnotBavurusu"/>
          <w:szCs w:val="18"/>
          <w:rtl/>
        </w:rPr>
        <w:tab/>
      </w:r>
      <w:r w:rsidRPr="006D2ABB">
        <w:rPr>
          <w:rFonts w:hint="cs"/>
          <w:rtl/>
        </w:rPr>
        <w:t xml:space="preserve"> الوهم ما يقع في الذهن ما الخاطر. مجمع اللغة العربية، معجم الوسيط «وهم»، مكتبة الشروق الدولية، مصر، 2004، ص 1060. </w:t>
      </w:r>
    </w:p>
  </w:footnote>
  <w:footnote w:id="36">
    <w:p w:rsidR="006D2ABB" w:rsidRPr="006D2ABB" w:rsidRDefault="006D2ABB" w:rsidP="006D2ABB">
      <w:pPr>
        <w:pStyle w:val="DipnotMetni"/>
        <w:bidi/>
        <w:rPr>
          <w:rtl/>
        </w:rPr>
      </w:pPr>
      <w:r w:rsidRPr="006D2ABB">
        <w:rPr>
          <w:rFonts w:eastAsia="Traditional Arabic"/>
          <w:vertAlign w:val="superscript"/>
          <w:rtl/>
        </w:rPr>
        <w:footnoteRef/>
      </w:r>
      <w:r w:rsidRPr="006D2ABB">
        <w:rPr>
          <w:rFonts w:eastAsia="Traditional Arabic"/>
          <w:rtl/>
        </w:rPr>
        <w:t xml:space="preserve">  ق: البصر.قال سيبويه (180هـ/796م) بَصُرَ صار مُبْصِراً وأَبصره إِذا أَخبر بالذي وقعت عينه عليه وحكاه اللحياني بَصِرَ به بكسر الصاد أَي أَبْصَرَهُ وأَبْصَرْتُ الشيءَ رأَيته والبَصَرُ نفاذ في القلب وبَصرُ القلب نظره وخاطره والبَصِيرَةُ عَقِيدَةُ القلب قال الليث البَصيرة اسم لما اعتقد في القلب من الدين وتحقيق الأَمر وقيل البَصيرة الفطنة تقول العرب أَعمى الله بصائره أَي فِطَنَه وقال الأَخفش﴿ بل الإِنسان على نفسه بصيرة ﴾ جعله هو البصيرة كما تقول للرجل أَنت حُجة على نفسك وقال ابن عرفة على نفسه بصيرة أَي عليها شاهد بعملها.( ابن منظور، لسان العرب، «بصر»).</w:t>
      </w:r>
    </w:p>
  </w:footnote>
  <w:footnote w:id="37">
    <w:p w:rsidR="006D2ABB" w:rsidRPr="006D2ABB" w:rsidRDefault="006D2ABB" w:rsidP="00881BC1">
      <w:pPr>
        <w:pStyle w:val="DipnotMetni"/>
        <w:bidi/>
        <w:rPr>
          <w:rtl/>
        </w:rPr>
      </w:pPr>
      <w:r w:rsidRPr="006D2ABB">
        <w:rPr>
          <w:vertAlign w:val="superscript"/>
          <w:rtl/>
        </w:rPr>
        <w:footnoteRef/>
      </w:r>
      <w:r w:rsidRPr="006D2ABB">
        <w:rPr>
          <w:rFonts w:hint="cs"/>
          <w:rtl/>
        </w:rPr>
        <w:t xml:space="preserve"> </w:t>
      </w:r>
      <w:r w:rsidRPr="006D2ABB">
        <w:rPr>
          <w:vertAlign w:val="superscript"/>
          <w:rtl/>
        </w:rPr>
        <w:tab/>
      </w:r>
      <w:r w:rsidRPr="006D2ABB">
        <w:rPr>
          <w:rFonts w:hint="cs"/>
          <w:rtl/>
        </w:rPr>
        <w:t>ق: وإشغال.</w:t>
      </w:r>
    </w:p>
  </w:footnote>
  <w:footnote w:id="38">
    <w:p w:rsidR="006D2ABB" w:rsidRPr="006D2ABB" w:rsidRDefault="006D2ABB" w:rsidP="006D2ABB">
      <w:pPr>
        <w:pStyle w:val="DipnotMetni"/>
        <w:bidi/>
      </w:pPr>
      <w:r w:rsidRPr="006D2ABB">
        <w:rPr>
          <w:vertAlign w:val="superscript"/>
        </w:rPr>
        <w:footnoteRef/>
      </w:r>
      <w:r w:rsidRPr="006D2ABB">
        <w:rPr>
          <w:rFonts w:hint="cs"/>
          <w:rtl/>
        </w:rPr>
        <w:t xml:space="preserve"> </w:t>
      </w:r>
      <w:r w:rsidRPr="006D2ABB">
        <w:rPr>
          <w:vertAlign w:val="superscript"/>
          <w:rtl/>
        </w:rPr>
        <w:tab/>
      </w:r>
      <w:r w:rsidRPr="006D2ABB">
        <w:rPr>
          <w:rFonts w:hint="cs"/>
          <w:rtl/>
        </w:rPr>
        <w:t>والإحسان وإن كان يعم أمورا كثيرة ولكن حقيقته المشاهدة والعيان وهى ليست رؤية الصانع بالبصر وهو ظاهر بل المراد بها حالة تحصل عند الرسوخ فى كمال الاعراض عما سوى الله (تعالى) وتمام توجهه الى حضرته بحيث لا يكون فى لسانه وقلبه وهمه غير الله (تعالى)، وسميت هذه الحالة مشاهدة؛ لمشاهدة البصيرة. (البورسوي، إسماعيل حقي بن مصطفى، روح البيان في تفسير القران، المكتبة أثر، إسطنبول، 1389هـ، 4/284).</w:t>
      </w:r>
      <w:r w:rsidRPr="006D2ABB">
        <w:t xml:space="preserve"> </w:t>
      </w:r>
    </w:p>
    <w:p w:rsidR="006D2ABB" w:rsidRPr="006D2ABB" w:rsidRDefault="006D2ABB" w:rsidP="006D2ABB">
      <w:pPr>
        <w:pStyle w:val="DipnotMetni"/>
        <w:bidi/>
        <w:ind w:firstLine="0"/>
        <w:rPr>
          <w:rtl/>
        </w:rPr>
      </w:pPr>
      <w:r w:rsidRPr="006D2ABB">
        <w:rPr>
          <w:rFonts w:hint="cs"/>
          <w:rtl/>
        </w:rPr>
        <w:t xml:space="preserve">وقال الغزالي في الإملاء: ومشاهدة ثلاثة بالحق، وهي: رؤية الأشياء بدلائل التوحيد، ومشاهدة للحق؛ وهي: رؤية الحق في الأشياء، ومشاهدة الحق؛ وهي: حقيقة اليقين بلا ارتياب. والمكاشفة أتم من المشاهدة؛ وهي ثلاث: مكاشفة بالعلم، وهي: تحقيق الإصابة بالفهم. ومكاشفة بالحال؛ وهي: تحقيق رؤية زيادة الحال. ومكاشفة بالتوحيد؛ وهي: تحقيق صحة الإشارة. (الغزالي، أبو حامد محمد بن محمد، الإملاء عن إشكالات الإحياء، مكتبة ومطبعة مصطفى البابي الحلبي، القاهرة 1358 هـ/ 1939م، 1/79).    </w:t>
      </w:r>
    </w:p>
  </w:footnote>
  <w:footnote w:id="39">
    <w:p w:rsidR="006D2ABB" w:rsidRPr="006D2ABB" w:rsidRDefault="006D2ABB" w:rsidP="00454E43">
      <w:pPr>
        <w:pStyle w:val="DipnotMetni"/>
        <w:bidi/>
        <w:rPr>
          <w:rtl/>
        </w:rPr>
      </w:pPr>
      <w:r w:rsidRPr="006D2ABB">
        <w:rPr>
          <w:rFonts w:eastAsia="Traditional Arabic"/>
          <w:vertAlign w:val="superscript"/>
          <w:rtl/>
        </w:rPr>
        <w:footnoteRef/>
      </w:r>
      <w:r w:rsidRPr="006D2ABB">
        <w:rPr>
          <w:rFonts w:eastAsia="Traditional Arabic"/>
          <w:rtl/>
        </w:rPr>
        <w:t xml:space="preserve"> </w:t>
      </w:r>
      <w:r w:rsidRPr="006D2ABB">
        <w:rPr>
          <w:rFonts w:eastAsia="Traditional Arabic"/>
          <w:vertAlign w:val="superscript"/>
          <w:rtl/>
        </w:rPr>
        <w:tab/>
      </w:r>
      <w:r w:rsidRPr="006D2ABB">
        <w:rPr>
          <w:rFonts w:eastAsia="Traditional Arabic"/>
          <w:rtl/>
        </w:rPr>
        <w:t>هذا بحر طويل وذكر هذا البيت بألفاظ مختلفة منها: جمالك في عيني وسكرك في فمي       وحبك في قلبي فأين تغيب. انظر: الصفوري،</w:t>
      </w:r>
      <w:r w:rsidRPr="006D2ABB">
        <w:rPr>
          <w:rFonts w:hint="cs"/>
          <w:rtl/>
        </w:rPr>
        <w:t xml:space="preserve"> </w:t>
      </w:r>
      <w:r w:rsidRPr="006D2ABB">
        <w:rPr>
          <w:rFonts w:eastAsia="Traditional Arabic"/>
          <w:rtl/>
        </w:rPr>
        <w:t>عبد الرحمن بن عبد السلام، نزهة المجالس ومنتخب النفائس، المطبعه الشعبانية، بيروت، بدون تاريخ، 1/52.</w:t>
      </w:r>
      <w:r w:rsidRPr="006D2ABB">
        <w:rPr>
          <w:rFonts w:hint="cs"/>
          <w:rtl/>
        </w:rPr>
        <w:t xml:space="preserve"> </w:t>
      </w:r>
    </w:p>
  </w:footnote>
  <w:footnote w:id="40">
    <w:p w:rsidR="006D2ABB" w:rsidRPr="006D2ABB" w:rsidRDefault="006D2ABB" w:rsidP="00454E43">
      <w:pPr>
        <w:pStyle w:val="DipnotMetni"/>
        <w:bidi/>
        <w:rPr>
          <w:rtl/>
        </w:rPr>
      </w:pPr>
      <w:r w:rsidRPr="006D2ABB">
        <w:rPr>
          <w:vertAlign w:val="superscript"/>
          <w:rtl/>
          <w:lang w:val="ar-SA"/>
        </w:rPr>
        <w:footnoteRef/>
      </w:r>
      <w:r w:rsidRPr="006D2ABB">
        <w:rPr>
          <w:rFonts w:hint="cs"/>
          <w:rtl/>
        </w:rPr>
        <w:t xml:space="preserve"> </w:t>
      </w:r>
      <w:r w:rsidRPr="006D2ABB">
        <w:rPr>
          <w:vertAlign w:val="superscript"/>
          <w:rtl/>
          <w:lang w:val="ar-SA"/>
        </w:rPr>
        <w:tab/>
      </w:r>
      <w:r w:rsidRPr="006D2ABB">
        <w:rPr>
          <w:rFonts w:hint="cs"/>
          <w:rtl/>
        </w:rPr>
        <w:t>ب: المجمل.</w:t>
      </w:r>
    </w:p>
  </w:footnote>
  <w:footnote w:id="41">
    <w:p w:rsidR="006D2ABB" w:rsidRPr="006D2ABB" w:rsidRDefault="006D2ABB" w:rsidP="00454E43">
      <w:pPr>
        <w:pStyle w:val="DipnotMetni"/>
        <w:bidi/>
        <w:rPr>
          <w:rtl/>
        </w:rPr>
      </w:pPr>
      <w:r w:rsidRPr="006D2ABB">
        <w:rPr>
          <w:vertAlign w:val="superscript"/>
        </w:rPr>
        <w:footnoteRef/>
      </w:r>
      <w:r w:rsidRPr="006D2ABB">
        <w:rPr>
          <w:rtl/>
        </w:rPr>
        <w:t xml:space="preserve"> </w:t>
      </w:r>
      <w:r w:rsidRPr="006D2ABB">
        <w:rPr>
          <w:vertAlign w:val="superscript"/>
          <w:rtl/>
        </w:rPr>
        <w:tab/>
      </w:r>
      <w:r w:rsidRPr="006D2ABB">
        <w:rPr>
          <w:rFonts w:hint="cs"/>
          <w:rtl/>
        </w:rPr>
        <w:t xml:space="preserve">ذكرت الحديث كما جاء في صحيح البخاري: البخاري ،الرقاق، 38.      أما ألفاظ الحديث في كلا النسختين على النحو التالي: ق ب :ما زال عبدي يتقرب اليّ بالنوافل حتى أحببته فكنت سمعه الذى يسمع به وبصره الذى يبصر به ويده الذى يبطش به ورجله الذى يمشى بها.      </w:t>
      </w:r>
    </w:p>
  </w:footnote>
  <w:footnote w:id="42">
    <w:p w:rsidR="006D2ABB" w:rsidRPr="006D2ABB" w:rsidRDefault="006D2ABB" w:rsidP="00454E43">
      <w:pPr>
        <w:pStyle w:val="DipnotMetni"/>
        <w:bidi/>
        <w:rPr>
          <w:rtl/>
        </w:rPr>
      </w:pPr>
      <w:r w:rsidRPr="006D2ABB">
        <w:rPr>
          <w:vertAlign w:val="superscript"/>
        </w:rPr>
        <w:footnoteRef/>
      </w:r>
      <w:r w:rsidRPr="006D2ABB">
        <w:rPr>
          <w:rFonts w:hint="cs"/>
          <w:rtl/>
        </w:rPr>
        <w:t xml:space="preserve"> </w:t>
      </w:r>
      <w:r w:rsidRPr="006D2ABB">
        <w:rPr>
          <w:vertAlign w:val="superscript"/>
          <w:rtl/>
        </w:rPr>
        <w:tab/>
      </w:r>
      <w:r w:rsidRPr="006D2ABB">
        <w:rPr>
          <w:rFonts w:hint="cs"/>
          <w:rtl/>
        </w:rPr>
        <w:t>ق - تراه. كان النبي صلى الله عليه وسلم بارزا يوما للناس، فأَتاه جبريل فقال ما الإِيمان؟ قال: « الإِيمان أن تؤمن باللَّه وملائكته، وكتبه، وبلقائه، ورسله وتؤمن بالبعث». قال: ما الإِسلام؟ قال: «الإِسلام؛ أَن تعبد اللَّه، ولا تشرك به شيئًا، وتقيم الصلاة، وتؤدي الزكاة المفروضة، وتصوم رمضان». قال: ما الإِحسان؟ قال: «أَن تعبد اللَّهَ كأَنكَ تراه، فَإِن لم تكن تراه فإنه يراك». (انظر: البخاري، الإيمان، 36؛ والمسلم، الإيمان، 1؛ أبو داود، السنة، 17.</w:t>
      </w:r>
    </w:p>
  </w:footnote>
  <w:footnote w:id="43">
    <w:p w:rsidR="006D2ABB" w:rsidRPr="006D2ABB" w:rsidRDefault="006D2ABB" w:rsidP="00454E43">
      <w:pPr>
        <w:pStyle w:val="DipnotMetni"/>
        <w:bidi/>
        <w:rPr>
          <w:rtl/>
        </w:rPr>
      </w:pPr>
      <w:r w:rsidRPr="006D2ABB">
        <w:rPr>
          <w:vertAlign w:val="superscript"/>
          <w:rtl/>
          <w:lang w:val="ar-SA"/>
        </w:rPr>
        <w:footnoteRef/>
      </w:r>
      <w:r w:rsidRPr="006D2ABB">
        <w:rPr>
          <w:rFonts w:hint="cs"/>
          <w:rtl/>
        </w:rPr>
        <w:t xml:space="preserve"> </w:t>
      </w:r>
      <w:r w:rsidRPr="006D2ABB">
        <w:rPr>
          <w:vertAlign w:val="superscript"/>
          <w:rtl/>
          <w:lang w:val="ar-SA"/>
        </w:rPr>
        <w:tab/>
      </w:r>
      <w:r w:rsidRPr="006D2ABB">
        <w:rPr>
          <w:rFonts w:hint="cs"/>
          <w:rtl/>
        </w:rPr>
        <w:t>ق: وقول.</w:t>
      </w:r>
    </w:p>
  </w:footnote>
  <w:footnote w:id="44">
    <w:p w:rsidR="006D2ABB" w:rsidRPr="006D2ABB" w:rsidRDefault="006D2ABB" w:rsidP="00454E43">
      <w:pPr>
        <w:pStyle w:val="DipnotMetni"/>
        <w:bidi/>
        <w:rPr>
          <w:rtl/>
        </w:rPr>
      </w:pPr>
      <w:r w:rsidRPr="006D2ABB">
        <w:rPr>
          <w:vertAlign w:val="superscript"/>
          <w:rtl/>
          <w:lang w:val="ar-SA"/>
        </w:rPr>
        <w:footnoteRef/>
      </w:r>
      <w:r w:rsidRPr="006D2ABB">
        <w:rPr>
          <w:rFonts w:hint="cs"/>
          <w:rtl/>
        </w:rPr>
        <w:t xml:space="preserve"> </w:t>
      </w:r>
      <w:r w:rsidRPr="006D2ABB">
        <w:rPr>
          <w:vertAlign w:val="superscript"/>
          <w:rtl/>
          <w:lang w:val="ar-SA"/>
        </w:rPr>
        <w:tab/>
      </w:r>
      <w:r w:rsidRPr="006D2ABB">
        <w:rPr>
          <w:rFonts w:hint="cs"/>
          <w:rtl/>
        </w:rPr>
        <w:t>ب + في الدنيا.</w:t>
      </w:r>
    </w:p>
  </w:footnote>
  <w:footnote w:id="45">
    <w:p w:rsidR="006D2ABB" w:rsidRPr="006D2ABB" w:rsidRDefault="006D2ABB" w:rsidP="00454E43">
      <w:pPr>
        <w:pStyle w:val="DipnotMetni"/>
        <w:bidi/>
      </w:pPr>
      <w:r w:rsidRPr="006D2ABB">
        <w:rPr>
          <w:vertAlign w:val="superscript"/>
          <w:rtl/>
          <w:lang w:val="ar-SA"/>
        </w:rPr>
        <w:footnoteRef/>
      </w:r>
      <w:r w:rsidRPr="006D2ABB">
        <w:rPr>
          <w:rFonts w:hint="cs"/>
          <w:rtl/>
        </w:rPr>
        <w:t xml:space="preserve"> </w:t>
      </w:r>
      <w:r w:rsidRPr="006D2ABB">
        <w:rPr>
          <w:vertAlign w:val="superscript"/>
          <w:rtl/>
          <w:lang w:val="ar-SA"/>
        </w:rPr>
        <w:tab/>
      </w:r>
      <w:r w:rsidRPr="006D2ABB">
        <w:rPr>
          <w:rFonts w:hint="cs"/>
          <w:rtl/>
        </w:rPr>
        <w:t xml:space="preserve">ق: أعلم.   </w:t>
      </w:r>
    </w:p>
  </w:footnote>
  <w:footnote w:id="46">
    <w:p w:rsidR="006D2ABB" w:rsidRPr="006D2ABB" w:rsidRDefault="006D2ABB" w:rsidP="00454E43">
      <w:pPr>
        <w:pStyle w:val="DipnotMetni"/>
        <w:bidi/>
      </w:pPr>
      <w:r w:rsidRPr="006D2ABB">
        <w:rPr>
          <w:vertAlign w:val="superscript"/>
          <w:rtl/>
          <w:lang w:val="ar-SA"/>
        </w:rPr>
        <w:footnoteRef/>
      </w:r>
      <w:r w:rsidRPr="006D2ABB">
        <w:rPr>
          <w:rFonts w:hint="cs"/>
          <w:rtl/>
        </w:rPr>
        <w:t xml:space="preserve"> </w:t>
      </w:r>
      <w:r w:rsidRPr="006D2ABB">
        <w:rPr>
          <w:vertAlign w:val="superscript"/>
          <w:rtl/>
          <w:lang w:val="ar-SA"/>
        </w:rPr>
        <w:tab/>
      </w:r>
      <w:r w:rsidRPr="006D2ABB">
        <w:rPr>
          <w:rFonts w:hint="cs"/>
          <w:rtl/>
        </w:rPr>
        <w:t>ق: أن ذكر.</w:t>
      </w:r>
    </w:p>
  </w:footnote>
  <w:footnote w:id="47">
    <w:p w:rsidR="006D2ABB" w:rsidRPr="006D2ABB" w:rsidRDefault="006D2ABB" w:rsidP="00454E43">
      <w:pPr>
        <w:pStyle w:val="DipnotMetni"/>
        <w:bidi/>
        <w:rPr>
          <w:b/>
          <w:bCs/>
          <w:rtl/>
        </w:rPr>
      </w:pPr>
      <w:r w:rsidRPr="006D2ABB">
        <w:rPr>
          <w:vertAlign w:val="superscript"/>
          <w:rtl/>
        </w:rPr>
        <w:footnoteRef/>
      </w:r>
      <w:r w:rsidRPr="006D2ABB">
        <w:rPr>
          <w:rFonts w:hint="cs"/>
          <w:rtl/>
        </w:rPr>
        <w:t xml:space="preserve"> </w:t>
      </w:r>
      <w:r w:rsidRPr="006D2ABB">
        <w:rPr>
          <w:vertAlign w:val="superscript"/>
          <w:rtl/>
        </w:rPr>
        <w:tab/>
      </w:r>
      <w:r w:rsidRPr="006D2ABB">
        <w:rPr>
          <w:rFonts w:hint="cs"/>
          <w:rtl/>
        </w:rPr>
        <w:t xml:space="preserve">الطَّبَقُ غطاء كل شيء، والجمع أطباق. وقد أَطْبَقَه وطَبَّقَه انْطَبَقَ وتَطَبَّقَ غَطَّاه وجعله مطَبَّقا. والمُطابَقةُ المُوافَقة والتَّطابُق الاتفاق. وهو المراد به هنا. انظر: الأزهري، محمد بن أحمد الهروي، تهذيب اللغة «طبق» ،تحقيق محمد عوض مرعب، الطبعة الأولى، دار إحياء التراث العربي، بيروت، 2001؛ ابن منظور، لسان العرب «طبق».    </w:t>
      </w:r>
    </w:p>
  </w:footnote>
  <w:footnote w:id="48">
    <w:p w:rsidR="006D2ABB" w:rsidRPr="006D2ABB" w:rsidRDefault="006D2ABB" w:rsidP="00454E43">
      <w:pPr>
        <w:pStyle w:val="DipnotMetni"/>
        <w:bidi/>
        <w:rPr>
          <w:rFonts w:eastAsia="Geeza Pro Bold"/>
          <w:rtl/>
        </w:rPr>
      </w:pPr>
      <w:r w:rsidRPr="006D2ABB">
        <w:rPr>
          <w:vertAlign w:val="superscript"/>
          <w:rtl/>
        </w:rPr>
        <w:footnoteRef/>
      </w:r>
      <w:r w:rsidRPr="006D2ABB">
        <w:rPr>
          <w:rtl/>
        </w:rPr>
        <w:t xml:space="preserve"> </w:t>
      </w:r>
      <w:r w:rsidRPr="006D2ABB">
        <w:rPr>
          <w:vertAlign w:val="superscript"/>
          <w:rtl/>
        </w:rPr>
        <w:tab/>
      </w:r>
      <w:r w:rsidRPr="006D2ABB">
        <w:rPr>
          <w:rFonts w:hint="cs"/>
          <w:rtl/>
        </w:rPr>
        <w:t>ذكر السمعاني في تفسيره أن الله أنزل ثلاثون صحيفة على شِيث، وَخمسونَ على إِدْرِيس، وَعشرونَ على إِبْراهيم، وَأَربعة على مُوسَى وَدَاوُد وَعِيسَى وَمحَمد عليهم الصلاة وَالسلام. ال</w:t>
      </w:r>
      <w:r w:rsidRPr="006D2ABB">
        <w:rPr>
          <w:rFonts w:hint="cs"/>
          <w:caps/>
          <w:rtl/>
        </w:rPr>
        <w:t>سمعاني</w:t>
      </w:r>
      <w:r w:rsidRPr="006D2ABB">
        <w:rPr>
          <w:rFonts w:hint="cs"/>
          <w:rtl/>
        </w:rPr>
        <w:t>، أبو المظفر منصور بن محمد، تفسير القرآن، تحقيق أبي بلال غنيم بن عباس بن غنيم، الطبعة الثانية، مدار الوطن، 1436 هـ/2011م، 3/300.</w:t>
      </w:r>
    </w:p>
  </w:footnote>
  <w:footnote w:id="49">
    <w:p w:rsidR="006D2ABB" w:rsidRPr="006D2ABB" w:rsidRDefault="006D2ABB" w:rsidP="00454E43">
      <w:pPr>
        <w:pStyle w:val="DipnotMetni"/>
        <w:bidi/>
        <w:rPr>
          <w:rFonts w:eastAsia="Traditional Arabic"/>
          <w:rtl/>
        </w:rPr>
      </w:pPr>
      <w:r w:rsidRPr="006D2ABB">
        <w:rPr>
          <w:rFonts w:eastAsia="Traditional Arabic"/>
          <w:vertAlign w:val="superscript"/>
          <w:rtl/>
        </w:rPr>
        <w:footnoteRef/>
      </w:r>
      <w:r w:rsidRPr="006D2ABB">
        <w:rPr>
          <w:rFonts w:eastAsia="Traditional Arabic"/>
          <w:rtl/>
        </w:rPr>
        <w:t xml:space="preserve"> </w:t>
      </w:r>
      <w:r w:rsidRPr="006D2ABB">
        <w:rPr>
          <w:rFonts w:eastAsia="Traditional Arabic"/>
          <w:vertAlign w:val="superscript"/>
          <w:rtl/>
        </w:rPr>
        <w:tab/>
      </w:r>
      <w:r w:rsidRPr="006D2ABB">
        <w:rPr>
          <w:rFonts w:eastAsia="Traditional Arabic"/>
          <w:rtl/>
        </w:rPr>
        <w:t>قسم العلماء سور القرآن إلى أربعة أقسام: الطوال، المئون، المثاني، المفصل. والمفصل ما يلي المثاني من قصار السور سمي مفصلا لكثرة الفصول التي بين السور ببسم الله الرحمن الرحيم. وقيل لقلة المنسوخ فيه ولذلك سمي المحكم. وآخره سورة الناس وفي أوله قولا مختلفا: الجاثية أو الحجرات أو ق أو الصاد وهكذا. الزركشي، بدر الدين محمد بن عبد الله، البرهان، دار المعرفة، بيروت، بدون تاريخ. دار المعرفة، بيروت، بدون تاريخ، 1/244-245.</w:t>
      </w:r>
    </w:p>
  </w:footnote>
  <w:footnote w:id="50">
    <w:p w:rsidR="006D2ABB" w:rsidRPr="006D2ABB" w:rsidRDefault="006D2ABB" w:rsidP="00454E43">
      <w:pPr>
        <w:pStyle w:val="DipnotMetni"/>
        <w:bidi/>
        <w:rPr>
          <w:rtl/>
        </w:rPr>
      </w:pPr>
      <w:r w:rsidRPr="006D2ABB">
        <w:rPr>
          <w:vertAlign w:val="superscript"/>
          <w:rtl/>
        </w:rPr>
        <w:footnoteRef/>
      </w:r>
      <w:r w:rsidRPr="006D2ABB">
        <w:rPr>
          <w:rFonts w:hint="cs"/>
          <w:rtl/>
        </w:rPr>
        <w:t xml:space="preserve"> </w:t>
      </w:r>
      <w:r w:rsidRPr="006D2ABB">
        <w:rPr>
          <w:vertAlign w:val="superscript"/>
          <w:rtl/>
        </w:rPr>
        <w:tab/>
      </w:r>
      <w:r w:rsidRPr="006D2ABB">
        <w:rPr>
          <w:rFonts w:hint="cs"/>
          <w:rtl/>
        </w:rPr>
        <w:t xml:space="preserve">ابن قيم الجوزية، تأليف محمد بن أبي بكر، تفسير القرآن الكريم، تحقيق الشيخ إبراهيم رمضان، الطبعة الأولى، دار ومكتبة الهلال، بيروت، 1410هـ، 65.  </w:t>
      </w:r>
    </w:p>
  </w:footnote>
  <w:footnote w:id="51">
    <w:p w:rsidR="006D2ABB" w:rsidRPr="006D2ABB" w:rsidRDefault="006D2ABB" w:rsidP="00454E43">
      <w:pPr>
        <w:pStyle w:val="DipnotMetni"/>
        <w:bidi/>
        <w:rPr>
          <w:rtl/>
        </w:rPr>
      </w:pPr>
      <w:r w:rsidRPr="006D2ABB">
        <w:rPr>
          <w:vertAlign w:val="superscript"/>
          <w:rtl/>
          <w:lang w:val="ar-SA"/>
        </w:rPr>
        <w:footnoteRef/>
      </w:r>
      <w:r w:rsidRPr="006D2ABB">
        <w:rPr>
          <w:rFonts w:hint="cs"/>
          <w:rtl/>
        </w:rPr>
        <w:t xml:space="preserve"> </w:t>
      </w:r>
      <w:r w:rsidRPr="006D2ABB">
        <w:rPr>
          <w:vertAlign w:val="superscript"/>
          <w:rtl/>
          <w:lang w:val="ar-SA"/>
        </w:rPr>
        <w:tab/>
      </w:r>
      <w:r w:rsidRPr="006D2ABB">
        <w:rPr>
          <w:rFonts w:hint="cs"/>
          <w:rtl/>
        </w:rPr>
        <w:t>ب: والعلمية.</w:t>
      </w:r>
    </w:p>
  </w:footnote>
  <w:footnote w:id="52">
    <w:p w:rsidR="006D2ABB" w:rsidRPr="006D2ABB" w:rsidRDefault="006D2ABB" w:rsidP="00454E43">
      <w:pPr>
        <w:pStyle w:val="DipnotMetni"/>
        <w:bidi/>
        <w:rPr>
          <w:rtl/>
        </w:rPr>
      </w:pPr>
      <w:r w:rsidRPr="006D2ABB">
        <w:rPr>
          <w:vertAlign w:val="superscript"/>
          <w:rtl/>
        </w:rPr>
        <w:footnoteRef/>
      </w:r>
      <w:r w:rsidRPr="006D2ABB">
        <w:rPr>
          <w:rFonts w:hint="cs"/>
          <w:rtl/>
        </w:rPr>
        <w:t xml:space="preserve"> </w:t>
      </w:r>
      <w:r w:rsidRPr="006D2ABB">
        <w:rPr>
          <w:vertAlign w:val="superscript"/>
          <w:rtl/>
        </w:rPr>
        <w:tab/>
      </w:r>
      <w:r w:rsidRPr="006D2ABB">
        <w:rPr>
          <w:rFonts w:hint="cs"/>
          <w:rtl/>
        </w:rPr>
        <w:t xml:space="preserve"> وفي هامش ب: القوة النظرية.</w:t>
      </w:r>
    </w:p>
  </w:footnote>
  <w:footnote w:id="53">
    <w:p w:rsidR="006D2ABB" w:rsidRPr="006D2ABB" w:rsidRDefault="006D2ABB" w:rsidP="00454E43">
      <w:pPr>
        <w:pStyle w:val="DipnotMetni"/>
        <w:bidi/>
        <w:rPr>
          <w:rtl/>
        </w:rPr>
      </w:pPr>
      <w:r w:rsidRPr="006D2ABB">
        <w:rPr>
          <w:vertAlign w:val="superscript"/>
          <w:rtl/>
        </w:rPr>
        <w:footnoteRef/>
      </w:r>
      <w:r w:rsidRPr="006D2ABB">
        <w:rPr>
          <w:rFonts w:hint="cs"/>
          <w:rtl/>
        </w:rPr>
        <w:t xml:space="preserve"> </w:t>
      </w:r>
      <w:r w:rsidRPr="006D2ABB">
        <w:rPr>
          <w:vertAlign w:val="superscript"/>
          <w:rtl/>
        </w:rPr>
        <w:tab/>
      </w:r>
      <w:r w:rsidRPr="006D2ABB">
        <w:rPr>
          <w:rFonts w:hint="cs"/>
          <w:rtl/>
        </w:rPr>
        <w:t xml:space="preserve">علم بالمبْدَأ قوله تعالى: ﴿وَالْمُؤْمِنُونَ بِاللَّهِ ﴾ (النساء 4/162) والعلم بالمعاد قوله: ﴿ وَالْيَوْمِ الآخِرِ ﴾ (النساء 4/162)؛ ابن عادل، أبو حفص عمر بن علي، اللباب في علوم الكتاب ، تحقيق الشيخ عادل أحمد عبد الموجود والشيخ علي محمد معوض، الطبعة الأولى، دار الكتب العلمية، بيروت، 1419 هـ/1998م، 7/130. </w:t>
      </w:r>
    </w:p>
  </w:footnote>
  <w:footnote w:id="54">
    <w:p w:rsidR="006D2ABB" w:rsidRPr="006D2ABB" w:rsidRDefault="006D2ABB" w:rsidP="00454E43">
      <w:pPr>
        <w:pStyle w:val="DipnotMetni"/>
        <w:bidi/>
        <w:rPr>
          <w:rtl/>
        </w:rPr>
      </w:pPr>
      <w:r w:rsidRPr="006D2ABB">
        <w:rPr>
          <w:vertAlign w:val="superscript"/>
          <w:rtl/>
          <w:lang w:val="ar-SA"/>
        </w:rPr>
        <w:footnoteRef/>
      </w:r>
      <w:r w:rsidRPr="006D2ABB">
        <w:rPr>
          <w:rFonts w:hint="cs"/>
          <w:rtl/>
        </w:rPr>
        <w:t xml:space="preserve"> </w:t>
      </w:r>
      <w:r w:rsidRPr="006D2ABB">
        <w:rPr>
          <w:vertAlign w:val="superscript"/>
          <w:rtl/>
          <w:lang w:val="ar-SA"/>
        </w:rPr>
        <w:tab/>
      </w:r>
      <w:r w:rsidRPr="006D2ABB">
        <w:rPr>
          <w:rFonts w:hint="cs"/>
          <w:rtl/>
        </w:rPr>
        <w:t>وفي هامش ب: قوة العلمية.</w:t>
      </w:r>
    </w:p>
  </w:footnote>
  <w:footnote w:id="55">
    <w:p w:rsidR="006D2ABB" w:rsidRPr="006D2ABB" w:rsidRDefault="006D2ABB" w:rsidP="00454E43">
      <w:pPr>
        <w:pStyle w:val="DipnotMetni"/>
        <w:bidi/>
        <w:rPr>
          <w:rtl/>
        </w:rPr>
      </w:pPr>
      <w:r w:rsidRPr="006D2ABB">
        <w:rPr>
          <w:vertAlign w:val="superscript"/>
          <w:rtl/>
        </w:rPr>
        <w:footnoteRef/>
      </w:r>
      <w:r w:rsidRPr="006D2ABB">
        <w:rPr>
          <w:rFonts w:hint="cs"/>
          <w:rtl/>
        </w:rPr>
        <w:t xml:space="preserve"> </w:t>
      </w:r>
      <w:r w:rsidRPr="006D2ABB">
        <w:rPr>
          <w:vertAlign w:val="superscript"/>
          <w:rtl/>
        </w:rPr>
        <w:tab/>
      </w:r>
      <w:r w:rsidRPr="006D2ABB">
        <w:rPr>
          <w:rFonts w:hint="cs"/>
          <w:rtl/>
        </w:rPr>
        <w:t>ب ق: الكونين.</w:t>
      </w:r>
    </w:p>
  </w:footnote>
  <w:footnote w:id="56">
    <w:p w:rsidR="006D2ABB" w:rsidRPr="006D2ABB" w:rsidRDefault="006D2ABB" w:rsidP="00454E43">
      <w:pPr>
        <w:pStyle w:val="DipnotMetni"/>
        <w:bidi/>
        <w:rPr>
          <w:rtl/>
        </w:rPr>
      </w:pPr>
      <w:r w:rsidRPr="006D2ABB">
        <w:rPr>
          <w:rStyle w:val="DipnotBavurusu"/>
          <w:szCs w:val="18"/>
        </w:rPr>
        <w:footnoteRef/>
      </w:r>
      <w:r w:rsidRPr="006D2ABB">
        <w:rPr>
          <w:rFonts w:hint="cs"/>
          <w:rtl/>
        </w:rPr>
        <w:t xml:space="preserve"> </w:t>
      </w:r>
      <w:r w:rsidRPr="006D2ABB">
        <w:rPr>
          <w:rStyle w:val="DipnotBavurusu"/>
          <w:szCs w:val="18"/>
          <w:rtl/>
        </w:rPr>
        <w:tab/>
      </w:r>
      <w:r w:rsidRPr="006D2ABB">
        <w:rPr>
          <w:rFonts w:hint="cs"/>
          <w:rtl/>
        </w:rPr>
        <w:t>ب ق: يفيد.</w:t>
      </w:r>
    </w:p>
  </w:footnote>
  <w:footnote w:id="57">
    <w:p w:rsidR="006D2ABB" w:rsidRPr="006D2ABB" w:rsidRDefault="006D2ABB" w:rsidP="00454E43">
      <w:pPr>
        <w:pStyle w:val="DipnotMetni"/>
        <w:bidi/>
        <w:rPr>
          <w:rtl/>
        </w:rPr>
      </w:pPr>
      <w:r w:rsidRPr="006D2ABB">
        <w:rPr>
          <w:vertAlign w:val="superscript"/>
          <w:rtl/>
          <w:lang w:val="ar-SA"/>
        </w:rPr>
        <w:footnoteRef/>
      </w:r>
      <w:r w:rsidRPr="006D2ABB">
        <w:rPr>
          <w:rFonts w:hint="cs"/>
          <w:rtl/>
        </w:rPr>
        <w:t xml:space="preserve"> </w:t>
      </w:r>
      <w:r w:rsidRPr="006D2ABB">
        <w:rPr>
          <w:vertAlign w:val="superscript"/>
          <w:rtl/>
          <w:lang w:val="ar-SA"/>
        </w:rPr>
        <w:tab/>
      </w:r>
      <w:r w:rsidRPr="006D2ABB">
        <w:rPr>
          <w:rFonts w:hint="cs"/>
          <w:rtl/>
        </w:rPr>
        <w:t xml:space="preserve">وفي هامش ب: أي خالق. </w:t>
      </w:r>
    </w:p>
  </w:footnote>
  <w:footnote w:id="58">
    <w:p w:rsidR="006D2ABB" w:rsidRPr="006D2ABB" w:rsidRDefault="006D2ABB" w:rsidP="00454E43">
      <w:pPr>
        <w:pStyle w:val="DipnotMetni"/>
        <w:bidi/>
        <w:rPr>
          <w:rtl/>
        </w:rPr>
      </w:pPr>
      <w:r w:rsidRPr="006D2ABB">
        <w:rPr>
          <w:vertAlign w:val="superscript"/>
          <w:rtl/>
          <w:lang w:val="ar-SA"/>
        </w:rPr>
        <w:footnoteRef/>
      </w:r>
      <w:r w:rsidRPr="006D2ABB">
        <w:rPr>
          <w:rFonts w:hint="cs"/>
          <w:rtl/>
        </w:rPr>
        <w:t xml:space="preserve"> </w:t>
      </w:r>
      <w:r w:rsidRPr="006D2ABB">
        <w:rPr>
          <w:vertAlign w:val="superscript"/>
          <w:rtl/>
          <w:lang w:val="ar-SA"/>
        </w:rPr>
        <w:tab/>
      </w:r>
      <w:r w:rsidRPr="006D2ABB">
        <w:rPr>
          <w:rFonts w:hint="cs"/>
          <w:rtl/>
        </w:rPr>
        <w:t>وفي هامش ب: (رحمن الدنيا) بإعطائه المؤمن والكافر والمطيع والعاصي، و(رحيم الآخرة) لا ينال الرحمة في الآخرة  إلاّ المؤمنون</w:t>
      </w:r>
      <w:r w:rsidRPr="006D2ABB">
        <w:rPr>
          <w:rFonts w:hint="cs"/>
          <w:rtl/>
          <w:lang w:val="ar-SA"/>
        </w:rPr>
        <w:t xml:space="preserve">. </w:t>
      </w:r>
      <w:r w:rsidRPr="006D2ABB">
        <w:rPr>
          <w:rFonts w:hint="cs"/>
          <w:rtl/>
        </w:rPr>
        <w:t xml:space="preserve">في تفسير الزمخشري المعنى عكس هذه المعلومات، وهكذا: وفي </w:t>
      </w:r>
      <w:r w:rsidRPr="006D2ABB">
        <w:rPr>
          <w:rFonts w:hint="cs"/>
          <w:rtl/>
          <w:lang w:val="ar-SA"/>
        </w:rPr>
        <w:t>(</w:t>
      </w:r>
      <w:r w:rsidRPr="006D2ABB">
        <w:rPr>
          <w:rFonts w:hint="cs"/>
          <w:rtl/>
        </w:rPr>
        <w:t xml:space="preserve">الرَّحْمنِ) من المبالغة ما ليس في </w:t>
      </w:r>
      <w:r w:rsidRPr="006D2ABB">
        <w:rPr>
          <w:rFonts w:hint="cs"/>
          <w:rtl/>
          <w:lang w:val="ar-SA"/>
        </w:rPr>
        <w:t>(ا</w:t>
      </w:r>
      <w:r w:rsidRPr="006D2ABB">
        <w:rPr>
          <w:rFonts w:hint="cs"/>
          <w:rtl/>
        </w:rPr>
        <w:t>لرَّحِيمِ)، ولذلك قالوا: رحمن الدنيا والآخرة، ورحيم الدنيا، ويقولون: إنّ الزيادة في البناء لزيادة المعنى. الزمخشري، أبو القاسم محمود بن عمرو جار الله، الكشاف عن حقائق غوامض التنزيل وعيون الأقاويل في وجوه التأويل، دار المعرفة، بيروت، بدون تاريخ، 1/6.</w:t>
      </w:r>
    </w:p>
  </w:footnote>
  <w:footnote w:id="59">
    <w:p w:rsidR="006D2ABB" w:rsidRPr="006D2ABB" w:rsidRDefault="006D2ABB" w:rsidP="006D2ABB">
      <w:pPr>
        <w:pStyle w:val="DipnotMetni"/>
        <w:bidi/>
      </w:pPr>
      <w:r w:rsidRPr="006D2ABB">
        <w:rPr>
          <w:vertAlign w:val="superscript"/>
          <w:rtl/>
          <w:lang w:val="ar-SA"/>
        </w:rPr>
        <w:footnoteRef/>
      </w:r>
      <w:r w:rsidRPr="006D2ABB">
        <w:rPr>
          <w:rFonts w:hint="cs"/>
          <w:rtl/>
        </w:rPr>
        <w:t xml:space="preserve"> </w:t>
      </w:r>
      <w:r w:rsidRPr="006D2ABB">
        <w:rPr>
          <w:vertAlign w:val="superscript"/>
          <w:rtl/>
          <w:lang w:val="ar-SA"/>
        </w:rPr>
        <w:tab/>
      </w:r>
      <w:r w:rsidRPr="006D2ABB">
        <w:rPr>
          <w:rFonts w:hint="cs"/>
          <w:rtl/>
        </w:rPr>
        <w:t>وفي هامش ب: أمر المبدأ والمعاد.</w:t>
      </w:r>
    </w:p>
  </w:footnote>
  <w:footnote w:id="60">
    <w:p w:rsidR="006D2ABB" w:rsidRPr="006D2ABB" w:rsidRDefault="006D2ABB" w:rsidP="006D2ABB">
      <w:pPr>
        <w:pStyle w:val="DipnotMetni"/>
        <w:bidi/>
      </w:pPr>
      <w:r w:rsidRPr="003D6C69">
        <w:rPr>
          <w:vertAlign w:val="superscript"/>
          <w:rtl/>
          <w:lang w:val="ar-SA"/>
        </w:rPr>
        <w:footnoteRef/>
      </w:r>
      <w:r w:rsidRPr="006D2ABB">
        <w:rPr>
          <w:rFonts w:hint="cs"/>
          <w:rtl/>
        </w:rPr>
        <w:t xml:space="preserve"> </w:t>
      </w:r>
      <w:r w:rsidRPr="00473003">
        <w:rPr>
          <w:rtl/>
        </w:rPr>
        <w:tab/>
      </w:r>
      <w:r w:rsidRPr="006D2ABB">
        <w:rPr>
          <w:rFonts w:hint="cs"/>
          <w:rtl/>
        </w:rPr>
        <w:t>ب: باعتبار.</w:t>
      </w:r>
    </w:p>
  </w:footnote>
  <w:footnote w:id="61">
    <w:p w:rsidR="006D2ABB" w:rsidRPr="006D2ABB" w:rsidRDefault="006D2ABB" w:rsidP="006D2ABB">
      <w:pPr>
        <w:pStyle w:val="DipnotMetni"/>
        <w:bidi/>
      </w:pPr>
      <w:r w:rsidRPr="003D6C69">
        <w:rPr>
          <w:vertAlign w:val="superscript"/>
          <w:rtl/>
          <w:lang w:val="ar-SA"/>
        </w:rPr>
        <w:footnoteRef/>
      </w:r>
      <w:r w:rsidRPr="006D2ABB">
        <w:rPr>
          <w:rFonts w:hint="cs"/>
          <w:rtl/>
        </w:rPr>
        <w:t xml:space="preserve"> </w:t>
      </w:r>
      <w:r w:rsidRPr="00473003">
        <w:rPr>
          <w:rtl/>
        </w:rPr>
        <w:tab/>
      </w:r>
      <w:r w:rsidRPr="006D2ABB">
        <w:rPr>
          <w:rFonts w:hint="cs"/>
          <w:rtl/>
        </w:rPr>
        <w:t>وفي هامش ب: القوة النظرية.</w:t>
      </w:r>
    </w:p>
  </w:footnote>
  <w:footnote w:id="62">
    <w:p w:rsidR="006D2ABB" w:rsidRPr="006D2ABB" w:rsidRDefault="006D2ABB" w:rsidP="006D2ABB">
      <w:pPr>
        <w:pStyle w:val="DipnotMetni"/>
        <w:bidi/>
      </w:pPr>
      <w:r w:rsidRPr="003D6C69">
        <w:rPr>
          <w:vertAlign w:val="superscript"/>
          <w:rtl/>
          <w:lang w:val="ar-SA"/>
        </w:rPr>
        <w:footnoteRef/>
      </w:r>
      <w:r w:rsidRPr="003D6C69">
        <w:rPr>
          <w:rFonts w:hint="cs"/>
          <w:vertAlign w:val="superscript"/>
          <w:rtl/>
          <w:lang w:val="ar-SA"/>
        </w:rPr>
        <w:t xml:space="preserve"> </w:t>
      </w:r>
      <w:r w:rsidRPr="00473003">
        <w:rPr>
          <w:rtl/>
        </w:rPr>
        <w:tab/>
      </w:r>
      <w:r w:rsidRPr="006D2ABB">
        <w:rPr>
          <w:rFonts w:hint="cs"/>
          <w:rtl/>
        </w:rPr>
        <w:t>وفي هامش ب: أي الجزاء.</w:t>
      </w:r>
    </w:p>
  </w:footnote>
  <w:footnote w:id="63">
    <w:p w:rsidR="006D2ABB" w:rsidRPr="006D2ABB" w:rsidRDefault="006D2ABB" w:rsidP="006D2ABB">
      <w:pPr>
        <w:bidi/>
        <w:spacing w:line="240" w:lineRule="atLeast"/>
        <w:ind w:hanging="6"/>
        <w:jc w:val="both"/>
        <w:rPr>
          <w:sz w:val="18"/>
          <w:szCs w:val="18"/>
        </w:rPr>
      </w:pPr>
      <w:r w:rsidRPr="003D6C69">
        <w:rPr>
          <w:sz w:val="18"/>
          <w:szCs w:val="18"/>
          <w:vertAlign w:val="superscript"/>
          <w:rtl/>
          <w:lang w:val="ar-SA"/>
        </w:rPr>
        <w:footnoteRef/>
      </w:r>
      <w:r w:rsidRPr="006D2ABB">
        <w:rPr>
          <w:rFonts w:hint="cs"/>
          <w:sz w:val="18"/>
          <w:szCs w:val="18"/>
          <w:rtl/>
        </w:rPr>
        <w:t xml:space="preserve"> </w:t>
      </w:r>
      <w:r w:rsidR="00473003" w:rsidRPr="00473003">
        <w:rPr>
          <w:rFonts w:hint="cs"/>
          <w:sz w:val="18"/>
          <w:szCs w:val="18"/>
        </w:rPr>
        <w:t xml:space="preserve">  </w:t>
      </w:r>
      <w:r w:rsidRPr="006D2ABB">
        <w:rPr>
          <w:rFonts w:hint="cs"/>
          <w:sz w:val="18"/>
          <w:szCs w:val="18"/>
          <w:rtl/>
        </w:rPr>
        <w:t>ق: ل</w:t>
      </w:r>
      <w:r w:rsidRPr="00473003">
        <w:rPr>
          <w:rFonts w:hint="cs"/>
          <w:rtl/>
        </w:rPr>
        <w:t>ل</w:t>
      </w:r>
      <w:r w:rsidRPr="006D2ABB">
        <w:rPr>
          <w:rFonts w:hint="cs"/>
          <w:sz w:val="18"/>
          <w:szCs w:val="18"/>
          <w:rtl/>
        </w:rPr>
        <w:t>حاملين.</w:t>
      </w:r>
    </w:p>
  </w:footnote>
  <w:footnote w:id="64">
    <w:p w:rsidR="006D2ABB" w:rsidRPr="006D2ABB" w:rsidRDefault="006D2ABB" w:rsidP="00387D8F">
      <w:pPr>
        <w:pStyle w:val="DipnotMetni"/>
        <w:bidi/>
      </w:pPr>
      <w:r w:rsidRPr="003D6C69">
        <w:rPr>
          <w:vertAlign w:val="superscript"/>
          <w:rtl/>
          <w:lang w:val="ar-SA"/>
        </w:rPr>
        <w:footnoteRef/>
      </w:r>
      <w:r w:rsidRPr="00473003">
        <w:rPr>
          <w:rFonts w:hint="cs"/>
          <w:rtl/>
        </w:rPr>
        <w:t xml:space="preserve"> </w:t>
      </w:r>
      <w:r w:rsidRPr="00473003">
        <w:rPr>
          <w:rtl/>
        </w:rPr>
        <w:tab/>
      </w:r>
      <w:r w:rsidRPr="006D2ABB">
        <w:rPr>
          <w:rFonts w:hint="cs"/>
          <w:rtl/>
        </w:rPr>
        <w:t xml:space="preserve">وفي هامش ب: فإنه العبد إذا كان مستحضرا في صلاته ولم يكن قلبه مشغولا بالدنيا </w:t>
      </w:r>
      <w:r w:rsidRPr="00387D8F">
        <w:rPr>
          <w:rFonts w:hint="cs"/>
          <w:rtl/>
        </w:rPr>
        <w:t>وقالبه</w:t>
      </w:r>
      <w:r w:rsidRPr="006D2ABB">
        <w:rPr>
          <w:rFonts w:hint="cs"/>
          <w:rtl/>
        </w:rPr>
        <w:t xml:space="preserve"> ملتف بشيء آخر إذا قال ﴿إياك نعبد﴾ يقول له تعالى: « صدقت عبدي ولك ما </w:t>
      </w:r>
      <w:r w:rsidRPr="00473003">
        <w:rPr>
          <w:rtl/>
        </w:rPr>
        <w:t>سألت» وإذا لم يكن كذلك، يقول الله تعالى: « كذبت عبدي ورددتُ عليك صلاتك فخذ اَجرك ممن يهويك ويرائبك».      ورد الحديث في المصادر هكذا : عن النبي صلى الله عليه وسلم «من صلى صلاة لم يقرأ فيها بأم القرآن فهي خداج ثلاثا غير تمام» فقيل لأبي هريرة إنا نكون وراء الإمام فقال اقرأ بها في نفسك فإني سمعت رسول الله (صلى الله عليه وسلم) يقول: «قال الله تعالى: قسمت الصلاة بيني وبين عبدي نصفين ولعبدي ما سأل، فإذا قال العبد: ﴿الحمد لله رب العالمين﴾  قال الله تعالى: حمدني عبدي، وإذا قال: ﴿الرحمن الرحيم﴾ قال الله تعالى: أثنى علي عبدي، وإذا قال: ﴿مالك يوم الدين﴾ قال: مجدني عبدي، فإذا قال: ﴿إياك نعبد وإياك نستعين﴾ قال: هذا بيني وبين عبدي، ولعبدي ما سأل. فإذا قال: ﴿اهدنا الصراط المستقيمَ ﴾ ﴿صراط الذين انعمت عليهم غير المغضوب عليهم ولا الضالين ﴾ قال: هذا لعبدي، ولعبدي ما سأل». المسلم، الصلاة، 38. وانظر: أبو داود، الصلاة، 138؛ الترمذي، سورة فاتحة الكتاب، 2</w:t>
      </w:r>
      <w:r w:rsidRPr="006D2ABB">
        <w:rPr>
          <w:rFonts w:ascii="Traditional Arabic" w:eastAsia="Traditional Arabic" w:hAnsi="Traditional Arabic" w:cs="Traditional Arabic"/>
          <w:rtl/>
          <w:lang w:val="ar-SA"/>
        </w:rPr>
        <w:t xml:space="preserve">.   </w:t>
      </w:r>
    </w:p>
  </w:footnote>
  <w:footnote w:id="65">
    <w:p w:rsidR="006D2ABB" w:rsidRPr="006D2ABB" w:rsidRDefault="006D2ABB" w:rsidP="006D2ABB">
      <w:pPr>
        <w:pStyle w:val="DipnotMetni"/>
        <w:bidi/>
      </w:pPr>
      <w:r w:rsidRPr="006D2ABB">
        <w:rPr>
          <w:vertAlign w:val="superscript"/>
          <w:rtl/>
          <w:lang w:val="ar-SA"/>
        </w:rPr>
        <w:footnoteRef/>
      </w:r>
      <w:r w:rsidRPr="006D2ABB">
        <w:rPr>
          <w:rFonts w:hint="cs"/>
          <w:rtl/>
        </w:rPr>
        <w:t xml:space="preserve"> </w:t>
      </w:r>
      <w:r w:rsidRPr="006D2ABB">
        <w:rPr>
          <w:vertAlign w:val="superscript"/>
          <w:rtl/>
          <w:lang w:val="ar-SA"/>
        </w:rPr>
        <w:tab/>
      </w:r>
      <w:r w:rsidRPr="006D2ABB">
        <w:rPr>
          <w:rFonts w:hint="cs"/>
          <w:rtl/>
        </w:rPr>
        <w:t>وفي هامش ب: قوة العلمية، وهذا خطأ والصواب ما أثبتناه القوة العلمية.</w:t>
      </w:r>
    </w:p>
  </w:footnote>
  <w:footnote w:id="66">
    <w:p w:rsidR="006D2ABB" w:rsidRPr="006D2ABB" w:rsidRDefault="006D2ABB" w:rsidP="006D2ABB">
      <w:pPr>
        <w:pStyle w:val="DipnotMetni"/>
        <w:bidi/>
        <w:rPr>
          <w:rtl/>
        </w:rPr>
      </w:pPr>
      <w:r w:rsidRPr="006D2ABB">
        <w:rPr>
          <w:vertAlign w:val="superscript"/>
          <w:rtl/>
          <w:lang w:val="ar-SA"/>
        </w:rPr>
        <w:footnoteRef/>
      </w:r>
      <w:r w:rsidRPr="006D2ABB">
        <w:rPr>
          <w:rFonts w:hint="cs"/>
          <w:rtl/>
        </w:rPr>
        <w:t xml:space="preserve"> </w:t>
      </w:r>
      <w:r w:rsidRPr="006D2ABB">
        <w:rPr>
          <w:vertAlign w:val="superscript"/>
          <w:rtl/>
          <w:lang w:val="ar-SA"/>
        </w:rPr>
        <w:tab/>
      </w:r>
      <w:r w:rsidRPr="006D2ABB">
        <w:rPr>
          <w:rFonts w:hint="cs"/>
          <w:rtl/>
        </w:rPr>
        <w:t>الالتفات في علم البيان قد يكون من الغيبة إلى الخطاب، ومن الخطاب إلى الغيبة، ومن الغيبة إلى التكلم، وذلك على عادة افتنانهم في الكلام وتصرفهم فيه، ولأنّ الكلام إذا نقل من أسلوب إلى أسلوب، كان ذلك أحسن تطرية لنشاط السامع، وإيقاظا للإصغاء إليه من إجرائه على أسلوب واحد، وقد تختص مواقعه بفوائد.  الزمخشري، الكشاف، 1/10.</w:t>
      </w:r>
    </w:p>
  </w:footnote>
  <w:footnote w:id="67">
    <w:p w:rsidR="006D2ABB" w:rsidRPr="006D2ABB" w:rsidRDefault="006D2ABB" w:rsidP="006D2ABB">
      <w:pPr>
        <w:pStyle w:val="DipnotMetni"/>
        <w:bidi/>
      </w:pPr>
      <w:r w:rsidRPr="006D2ABB">
        <w:rPr>
          <w:vertAlign w:val="superscript"/>
          <w:rtl/>
          <w:lang w:val="ar-SA"/>
        </w:rPr>
        <w:footnoteRef/>
      </w:r>
      <w:r w:rsidRPr="006D2ABB">
        <w:rPr>
          <w:rFonts w:hint="cs"/>
          <w:rtl/>
          <w:lang w:val="ar-SA"/>
        </w:rPr>
        <w:t xml:space="preserve"> </w:t>
      </w:r>
      <w:r w:rsidRPr="006D2ABB">
        <w:rPr>
          <w:vertAlign w:val="superscript"/>
          <w:rtl/>
          <w:lang w:val="ar-SA"/>
        </w:rPr>
        <w:tab/>
      </w:r>
      <w:r w:rsidRPr="006D2ABB">
        <w:rPr>
          <w:rFonts w:hint="cs"/>
          <w:rtl/>
          <w:lang w:val="ar-SA"/>
        </w:rPr>
        <w:t xml:space="preserve"> ق – له.      </w:t>
      </w:r>
      <w:r w:rsidRPr="006D2ABB">
        <w:rPr>
          <w:rFonts w:hint="cs"/>
          <w:rtl/>
        </w:rPr>
        <w:t xml:space="preserve">وفي هامش ب: خبر لاسم العبد.  </w:t>
      </w:r>
    </w:p>
  </w:footnote>
  <w:footnote w:id="68">
    <w:p w:rsidR="006D2ABB" w:rsidRPr="006D2ABB" w:rsidRDefault="006D2ABB" w:rsidP="006D2ABB">
      <w:pPr>
        <w:pStyle w:val="DipnotMetni"/>
        <w:bidi/>
      </w:pPr>
      <w:r w:rsidRPr="006D2ABB">
        <w:rPr>
          <w:vertAlign w:val="superscript"/>
          <w:rtl/>
          <w:lang w:val="ar-SA"/>
        </w:rPr>
        <w:footnoteRef/>
      </w:r>
      <w:r w:rsidRPr="006D2ABB">
        <w:rPr>
          <w:rFonts w:hint="cs"/>
          <w:rtl/>
        </w:rPr>
        <w:t xml:space="preserve"> </w:t>
      </w:r>
      <w:r w:rsidRPr="006D2ABB">
        <w:rPr>
          <w:vertAlign w:val="superscript"/>
          <w:rtl/>
          <w:lang w:val="ar-SA"/>
        </w:rPr>
        <w:tab/>
      </w:r>
      <w:r w:rsidRPr="006D2ABB">
        <w:rPr>
          <w:rFonts w:hint="cs"/>
          <w:rtl/>
        </w:rPr>
        <w:t>وفي هامش ب: أمر الاخلاص.</w:t>
      </w:r>
    </w:p>
  </w:footnote>
  <w:footnote w:id="69">
    <w:p w:rsidR="006D2ABB" w:rsidRPr="006D2ABB" w:rsidRDefault="006D2ABB" w:rsidP="006D2ABB">
      <w:pPr>
        <w:pStyle w:val="DipnotMetni"/>
        <w:bidi/>
      </w:pPr>
      <w:r w:rsidRPr="006D2ABB">
        <w:rPr>
          <w:vertAlign w:val="superscript"/>
          <w:rtl/>
          <w:lang w:val="ar-SA"/>
        </w:rPr>
        <w:footnoteRef/>
      </w:r>
      <w:r w:rsidRPr="006D2ABB">
        <w:rPr>
          <w:rFonts w:hint="cs"/>
          <w:rtl/>
          <w:lang w:val="ar-SA"/>
        </w:rPr>
        <w:t xml:space="preserve"> </w:t>
      </w:r>
      <w:r w:rsidRPr="006D2ABB">
        <w:rPr>
          <w:vertAlign w:val="superscript"/>
          <w:rtl/>
          <w:lang w:val="ar-SA"/>
        </w:rPr>
        <w:tab/>
      </w:r>
      <w:r w:rsidRPr="006D2ABB">
        <w:rPr>
          <w:rFonts w:hint="cs"/>
          <w:rtl/>
          <w:lang w:val="ar-SA"/>
        </w:rPr>
        <w:t>ق: يكن.</w:t>
      </w:r>
    </w:p>
  </w:footnote>
  <w:footnote w:id="70">
    <w:p w:rsidR="006D2ABB" w:rsidRPr="006D2ABB" w:rsidRDefault="006D2ABB" w:rsidP="00F1594C">
      <w:pPr>
        <w:pStyle w:val="DipnotMetni"/>
        <w:tabs>
          <w:tab w:val="left" w:pos="709"/>
          <w:tab w:val="left" w:pos="1418"/>
          <w:tab w:val="left" w:pos="4900"/>
        </w:tabs>
        <w:bidi/>
      </w:pPr>
      <w:r w:rsidRPr="006D2ABB">
        <w:rPr>
          <w:vertAlign w:val="superscript"/>
          <w:rtl/>
          <w:lang w:val="ar-SA"/>
        </w:rPr>
        <w:footnoteRef/>
      </w:r>
      <w:r w:rsidRPr="006D2ABB">
        <w:rPr>
          <w:rFonts w:hint="cs"/>
          <w:rtl/>
        </w:rPr>
        <w:t xml:space="preserve"> </w:t>
      </w:r>
      <w:r w:rsidRPr="006D2ABB">
        <w:rPr>
          <w:vertAlign w:val="superscript"/>
          <w:rtl/>
          <w:lang w:val="ar-SA"/>
        </w:rPr>
        <w:tab/>
      </w:r>
      <w:r w:rsidRPr="006D2ABB">
        <w:rPr>
          <w:rFonts w:hint="cs"/>
          <w:rtl/>
        </w:rPr>
        <w:t xml:space="preserve">سبق تخريجه في هامش 42. </w:t>
      </w:r>
      <w:r w:rsidR="00F1594C">
        <w:rPr>
          <w:rtl/>
        </w:rPr>
        <w:tab/>
      </w:r>
    </w:p>
  </w:footnote>
  <w:footnote w:id="71">
    <w:p w:rsidR="006D2ABB" w:rsidRPr="006D2ABB" w:rsidRDefault="006D2ABB" w:rsidP="006D2ABB">
      <w:pPr>
        <w:pStyle w:val="DipnotMetni"/>
        <w:bidi/>
        <w:rPr>
          <w:rtl/>
        </w:rPr>
      </w:pPr>
      <w:r w:rsidRPr="006D2ABB">
        <w:rPr>
          <w:vertAlign w:val="superscript"/>
          <w:rtl/>
        </w:rPr>
        <w:footnoteRef/>
      </w:r>
      <w:r w:rsidRPr="006D2ABB">
        <w:rPr>
          <w:rFonts w:hint="cs"/>
          <w:rtl/>
        </w:rPr>
        <w:t xml:space="preserve"> </w:t>
      </w:r>
      <w:r w:rsidRPr="006D2ABB">
        <w:rPr>
          <w:vertAlign w:val="superscript"/>
          <w:rtl/>
        </w:rPr>
        <w:tab/>
      </w:r>
      <w:r w:rsidRPr="006D2ABB">
        <w:rPr>
          <w:rFonts w:hint="cs"/>
          <w:rtl/>
        </w:rPr>
        <w:t>ق: خطير.</w:t>
      </w:r>
    </w:p>
  </w:footnote>
  <w:footnote w:id="72">
    <w:p w:rsidR="006D2ABB" w:rsidRPr="006D2ABB" w:rsidRDefault="006D2ABB" w:rsidP="006D2ABB">
      <w:pPr>
        <w:pStyle w:val="DipnotMetni"/>
        <w:bidi/>
        <w:rPr>
          <w:rtl/>
        </w:rPr>
      </w:pPr>
      <w:r w:rsidRPr="006D2ABB">
        <w:rPr>
          <w:vertAlign w:val="superscript"/>
          <w:rtl/>
        </w:rPr>
        <w:footnoteRef/>
      </w:r>
      <w:r w:rsidRPr="006D2ABB">
        <w:rPr>
          <w:rtl/>
        </w:rPr>
        <w:t xml:space="preserve"> </w:t>
      </w:r>
      <w:r w:rsidRPr="006D2ABB">
        <w:rPr>
          <w:vertAlign w:val="superscript"/>
          <w:rtl/>
        </w:rPr>
        <w:tab/>
      </w:r>
      <w:r w:rsidRPr="006D2ABB">
        <w:rPr>
          <w:rFonts w:hint="cs"/>
          <w:rtl/>
        </w:rPr>
        <w:t>وقبله كما وضعه الواضعون "الناس كلهم أموات إلا العلماء، والعلماء كلهم نيام إلا العاملين، والعاملون كلهم مغترون إلا المخلصين، والمخلصون على خطر عظيم." تستري، أبو محمد سهل بن عبد الله، تفسير التستري، حقيق محمد باسل عيون السود، الطبعة الأولى، دار الكتب العلمية، بيروت، 1423هـ/ 2002م، ص 88.</w:t>
      </w:r>
    </w:p>
    <w:p w:rsidR="006D2ABB" w:rsidRPr="006D2ABB" w:rsidRDefault="006D2ABB" w:rsidP="006D2ABB">
      <w:pPr>
        <w:pStyle w:val="DipnotMetni"/>
        <w:bidi/>
        <w:ind w:firstLine="0"/>
        <w:rPr>
          <w:rtl/>
        </w:rPr>
      </w:pPr>
      <w:r w:rsidRPr="006D2ABB">
        <w:rPr>
          <w:rFonts w:eastAsia="Traditional Arabic"/>
          <w:rtl/>
        </w:rPr>
        <w:t xml:space="preserve"> بصيغة أخرى فيقولون: "الناس كلهم هلكى إلا العالمون والعالمون كلهم هلكى إلا العاملون والعاملون كلهم هلكى إلا المخلصون والمخلصون على خطر عظيم". هذا حديث لا أصل له، وموضوع، الذي وضعه أراد الناس أن ييأسوا، وكثير من العلماء يوردون هذا الكلام كما فعل الإمام الغزالي في الإحياء وفخر الدين الرازي في مفاتيح الغيب: الغزالي، محمد بن محمد أبو حامد، الإحياء علوم الدين، مكتبة ومطبعة مصطفى البابي الحلبي، القاهرة، 1358هـ/ 1939م، 3/402؛ الرازي، فخر الدين، مفاتيح الغيب، دار الكتب العلمية، بيروت، 1411هـ /1990م، 28/119. وينقل النيسابوري حديثا في تفسيره: النيسابوري، نظام الدين الحسن، غرائب القرآن ورغائب الفرقان، الطبعة الأولى، تحقيق إبراهيم عطوة عوض، مكتبة ومطبعة مصطفى البابي الحلبي، 1381هـ/1962م، 1/254. قال العجلوني في كشف الخفاء أورده الصغاني وقال: وهذا الحديث مفترى ملحون، والصواب في الإعراب: العالمين والعاملين والمخلصين. العجلوني، إسماعيل بن محمد الجراحي، كشف الخفاء</w:t>
      </w:r>
      <w:r w:rsidRPr="006D2ABB">
        <w:rPr>
          <w:rFonts w:eastAsia="Traditional Arabic"/>
          <w:b/>
          <w:bCs/>
          <w:rtl/>
        </w:rPr>
        <w:t xml:space="preserve"> </w:t>
      </w:r>
      <w:r w:rsidRPr="006D2ABB">
        <w:rPr>
          <w:rFonts w:eastAsia="Traditional Arabic"/>
          <w:rtl/>
        </w:rPr>
        <w:t>ومزيل الإلباس عما اشتهر من الأحاديث على ألسنة الناس، الطبعة الثانية، دار إحياء التراث العربي، بيروت، 1352 هـ، 2/ 312.</w:t>
      </w:r>
    </w:p>
  </w:footnote>
  <w:footnote w:id="73">
    <w:p w:rsidR="006D2ABB" w:rsidRPr="006D2ABB" w:rsidRDefault="006D2ABB" w:rsidP="006D2ABB">
      <w:pPr>
        <w:pStyle w:val="DipnotMetni"/>
        <w:bidi/>
        <w:rPr>
          <w:rtl/>
        </w:rPr>
      </w:pPr>
      <w:r w:rsidRPr="006D2ABB">
        <w:rPr>
          <w:vertAlign w:val="superscript"/>
          <w:rtl/>
          <w:lang w:val="ar-SA"/>
        </w:rPr>
        <w:footnoteRef/>
      </w:r>
      <w:r w:rsidRPr="006D2ABB">
        <w:rPr>
          <w:rFonts w:hint="cs"/>
          <w:rtl/>
        </w:rPr>
        <w:t xml:space="preserve"> </w:t>
      </w:r>
      <w:r w:rsidRPr="006D2ABB">
        <w:rPr>
          <w:vertAlign w:val="superscript"/>
          <w:rtl/>
          <w:lang w:val="ar-SA"/>
        </w:rPr>
        <w:tab/>
      </w:r>
      <w:r w:rsidRPr="006D2ABB">
        <w:rPr>
          <w:rFonts w:hint="cs"/>
          <w:rtl/>
        </w:rPr>
        <w:t xml:space="preserve">وفي هامش ب: </w:t>
      </w:r>
      <w:r w:rsidRPr="006D2ABB">
        <w:rPr>
          <w:rFonts w:hint="cs"/>
          <w:rtl/>
          <w:lang w:val="ar-SA"/>
        </w:rPr>
        <w:t xml:space="preserve">وإنه العبد إذا قال في صلاته ﴿إياك نستعين﴾ مع حضور القلب والقالب يقول الله </w:t>
      </w:r>
      <w:r w:rsidRPr="006D2ABB">
        <w:rPr>
          <w:rFonts w:hint="cs"/>
          <w:rtl/>
        </w:rPr>
        <w:t>تعالى: «صدقت عبدي ولك ما سألت</w:t>
      </w:r>
      <w:r w:rsidRPr="006D2ABB">
        <w:rPr>
          <w:rFonts w:hint="cs"/>
          <w:rtl/>
          <w:lang w:val="ar-SA"/>
        </w:rPr>
        <w:t xml:space="preserve">َ»  </w:t>
      </w:r>
      <w:r w:rsidRPr="006D2ABB">
        <w:rPr>
          <w:rFonts w:hint="cs"/>
          <w:rtl/>
        </w:rPr>
        <w:t xml:space="preserve"> وإلا هتف هاتف </w:t>
      </w:r>
      <w:r w:rsidRPr="006D2ABB">
        <w:rPr>
          <w:rFonts w:hint="cs"/>
          <w:rtl/>
          <w:lang w:val="ar-SA"/>
        </w:rPr>
        <w:t xml:space="preserve">فقدت موجودك ووجودك، وجودك؛ أي: </w:t>
      </w:r>
      <w:r w:rsidRPr="006D2ABB">
        <w:rPr>
          <w:rFonts w:hint="cs"/>
          <w:rtl/>
        </w:rPr>
        <w:t>إحسانك، يعنى الإخلاص، فتأمل</w:t>
      </w:r>
      <w:r w:rsidRPr="006D2ABB">
        <w:rPr>
          <w:rFonts w:hint="cs"/>
          <w:rtl/>
          <w:lang w:val="ar-SA"/>
        </w:rPr>
        <w:t>.سبق تخريجه في هامش 64.</w:t>
      </w:r>
    </w:p>
  </w:footnote>
  <w:footnote w:id="74">
    <w:p w:rsidR="006D2ABB" w:rsidRPr="006D2ABB" w:rsidRDefault="006D2ABB" w:rsidP="006D2ABB">
      <w:pPr>
        <w:pStyle w:val="DipnotMetni"/>
        <w:bidi/>
        <w:rPr>
          <w:rtl/>
        </w:rPr>
      </w:pPr>
      <w:r w:rsidRPr="006D2ABB">
        <w:rPr>
          <w:vertAlign w:val="superscript"/>
          <w:rtl/>
          <w:lang w:val="ar-SA"/>
        </w:rPr>
        <w:footnoteRef/>
      </w:r>
      <w:r w:rsidRPr="006D2ABB">
        <w:rPr>
          <w:rFonts w:hint="cs"/>
          <w:rtl/>
          <w:lang w:val="ar-SA"/>
        </w:rPr>
        <w:t xml:space="preserve"> </w:t>
      </w:r>
      <w:r w:rsidRPr="006D2ABB">
        <w:rPr>
          <w:vertAlign w:val="superscript"/>
          <w:rtl/>
          <w:lang w:val="ar-SA"/>
        </w:rPr>
        <w:tab/>
      </w:r>
      <w:r w:rsidRPr="006D2ABB">
        <w:rPr>
          <w:rFonts w:hint="cs"/>
          <w:rtl/>
          <w:lang w:val="ar-SA"/>
        </w:rPr>
        <w:t xml:space="preserve"> ق: </w:t>
      </w:r>
      <w:r w:rsidRPr="006D2ABB">
        <w:rPr>
          <w:rFonts w:hint="cs"/>
          <w:rtl/>
        </w:rPr>
        <w:t>ثم أن لا يخطر</w:t>
      </w:r>
      <w:r w:rsidRPr="006D2ABB">
        <w:rPr>
          <w:rFonts w:hint="cs"/>
          <w:rtl/>
          <w:lang w:val="ar-SA"/>
        </w:rPr>
        <w:t xml:space="preserve">.     </w:t>
      </w:r>
      <w:r w:rsidRPr="006D2ABB">
        <w:rPr>
          <w:rFonts w:hint="cs"/>
          <w:rtl/>
        </w:rPr>
        <w:t>وفي هامش ب: خطر العبد.</w:t>
      </w:r>
    </w:p>
  </w:footnote>
  <w:footnote w:id="75">
    <w:p w:rsidR="006D2ABB" w:rsidRPr="006D2ABB" w:rsidRDefault="006D2ABB" w:rsidP="006D2ABB">
      <w:pPr>
        <w:pStyle w:val="DipnotMetni"/>
        <w:bidi/>
      </w:pPr>
      <w:r w:rsidRPr="006D2ABB">
        <w:rPr>
          <w:vertAlign w:val="superscript"/>
          <w:rtl/>
          <w:lang w:val="ar-SA"/>
        </w:rPr>
        <w:footnoteRef/>
      </w:r>
      <w:r w:rsidRPr="006D2ABB">
        <w:rPr>
          <w:rFonts w:hint="cs"/>
          <w:rtl/>
        </w:rPr>
        <w:t xml:space="preserve"> </w:t>
      </w:r>
      <w:r w:rsidRPr="006D2ABB">
        <w:rPr>
          <w:vertAlign w:val="superscript"/>
          <w:rtl/>
          <w:lang w:val="ar-SA"/>
        </w:rPr>
        <w:tab/>
      </w:r>
      <w:r w:rsidRPr="006D2ABB">
        <w:rPr>
          <w:rFonts w:hint="cs"/>
          <w:rtl/>
        </w:rPr>
        <w:t>وفي هامش ب: الإكمال الهداية والتوفق وزيادة المرتبة.</w:t>
      </w:r>
    </w:p>
  </w:footnote>
  <w:footnote w:id="76">
    <w:p w:rsidR="006D2ABB" w:rsidRPr="006D2ABB" w:rsidRDefault="006D2ABB" w:rsidP="006D2ABB">
      <w:pPr>
        <w:pStyle w:val="DipnotMetni"/>
        <w:bidi/>
        <w:rPr>
          <w:rFonts w:eastAsia="Traditional Arabic"/>
          <w:rtl/>
        </w:rPr>
      </w:pPr>
      <w:r w:rsidRPr="006D2ABB">
        <w:rPr>
          <w:rFonts w:eastAsia="Traditional Arabic"/>
          <w:vertAlign w:val="superscript"/>
          <w:rtl/>
        </w:rPr>
        <w:footnoteRef/>
      </w:r>
      <w:r w:rsidRPr="006D2ABB">
        <w:rPr>
          <w:rFonts w:eastAsia="Traditional Arabic"/>
          <w:rtl/>
        </w:rPr>
        <w:t xml:space="preserve"> </w:t>
      </w:r>
      <w:r w:rsidRPr="006D2ABB">
        <w:rPr>
          <w:rFonts w:eastAsia="Traditional Arabic"/>
          <w:vertAlign w:val="superscript"/>
          <w:rtl/>
        </w:rPr>
        <w:tab/>
      </w:r>
      <w:r w:rsidRPr="006D2ABB">
        <w:rPr>
          <w:rFonts w:eastAsia="Traditional Arabic"/>
          <w:rtl/>
        </w:rPr>
        <w:t>علي القاري، محمد أبو الحسن نور الدين الملا الهروي، الأسرار المرفوعة في الأخبار الموضوعة، تحقيق محمد الصباغ، دار الأمانة مؤسسة الرسالة، بيروت، 1391هـ.، ص327.</w:t>
      </w:r>
      <w:r w:rsidRPr="006D2ABB">
        <w:rPr>
          <w:rFonts w:eastAsia="Traditional Arabic" w:hint="cs"/>
          <w:rtl/>
        </w:rPr>
        <w:t xml:space="preserve">      </w:t>
      </w:r>
      <w:r w:rsidRPr="006D2ABB">
        <w:rPr>
          <w:rFonts w:eastAsia="Traditional Arabic"/>
          <w:rtl/>
        </w:rPr>
        <w:t xml:space="preserve">ق ب: من إستوى يوماه فهو مغبون.  </w:t>
      </w:r>
    </w:p>
    <w:p w:rsidR="006D2ABB" w:rsidRPr="006D2ABB" w:rsidRDefault="006D2ABB" w:rsidP="006D2ABB">
      <w:pPr>
        <w:pStyle w:val="DipnotMetni"/>
        <w:bidi/>
        <w:ind w:firstLine="0"/>
        <w:rPr>
          <w:rtl/>
        </w:rPr>
      </w:pPr>
      <w:r w:rsidRPr="006D2ABB">
        <w:rPr>
          <w:rFonts w:hint="cs"/>
          <w:rtl/>
          <w:lang w:val="ar-SA"/>
        </w:rPr>
        <w:t>قال العجلوني: "«من استوى يوماه فهو مغبون، ومن كان آخر يوميه شراً فهو ملعون، ومن لم يكن على الزيادة فهو في النقصان، ومن كان في النقصان فالموت خير له، ومن اشتاق إلى الجنة سارع في الخيرات، ومن أشفق من النار لهى عن الشهوات، ومن ترقب الموت هانت عليه اللذات، ومن زهد في الدنيا هانت عليه المصيبات».رواه الديلمي بسند ضعيف عن علي مرفوعا. وقال العراقي في تخريجه لا أعلم هذا إلا في منام لعبد العزيز بن أبي رواد قال: رأيت في المنام رسول الله صلى الله عليه وسلم فقلت يا رسول الله أوصني فقال ذلك. ولله در الإمام البستي حيث يقول زيادة المرء في دنياه نقصان وربحه غير محض الخير خسران قال الله تعالى ﴿وَالْعَصْرِ اِنَّ الْاِنْسَانَ لَفي خُسْرٍ﴾ (العصر 103/1.)" العجلوني، كشف الخفاء، 2/233</w:t>
      </w:r>
      <w:r w:rsidRPr="006D2ABB">
        <w:rPr>
          <w:rFonts w:hint="cs"/>
          <w:b/>
          <w:bCs/>
          <w:rtl/>
          <w:lang w:val="ar-SA"/>
        </w:rPr>
        <w:t xml:space="preserve">. </w:t>
      </w:r>
    </w:p>
  </w:footnote>
  <w:footnote w:id="77">
    <w:p w:rsidR="006D2ABB" w:rsidRPr="006D2ABB" w:rsidRDefault="006D2ABB" w:rsidP="006D2ABB">
      <w:pPr>
        <w:pStyle w:val="DipnotMetni"/>
        <w:bidi/>
        <w:rPr>
          <w:rtl/>
        </w:rPr>
      </w:pPr>
      <w:r w:rsidRPr="006D2ABB">
        <w:rPr>
          <w:rFonts w:eastAsia="Traditional Arabic"/>
          <w:vertAlign w:val="superscript"/>
          <w:rtl/>
        </w:rPr>
        <w:footnoteRef/>
      </w:r>
      <w:r w:rsidRPr="006D2ABB">
        <w:rPr>
          <w:rFonts w:eastAsia="Traditional Arabic"/>
          <w:rtl/>
        </w:rPr>
        <w:t xml:space="preserve"> </w:t>
      </w:r>
      <w:r w:rsidRPr="006D2ABB">
        <w:rPr>
          <w:rFonts w:eastAsia="Traditional Arabic"/>
          <w:vertAlign w:val="superscript"/>
          <w:rtl/>
        </w:rPr>
        <w:tab/>
      </w:r>
      <w:r w:rsidRPr="006D2ABB">
        <w:rPr>
          <w:rFonts w:eastAsia="Traditional Arabic"/>
          <w:rtl/>
        </w:rPr>
        <w:t>وفي هامش ب : يعني شيخ الطريقة عبد الله الأنصاري في كتابه المسمى بمنازل السائرين وقال فيه إن بين العبد والحق ألف مقام من نور وظلمة.      للمعلومات بالمقامات في التصوف انظر: الهروي، عبد الله الأنصاري، منازل السائرين، دار التركي، 1989، 1/17.</w:t>
      </w:r>
    </w:p>
  </w:footnote>
  <w:footnote w:id="78">
    <w:p w:rsidR="006D2ABB" w:rsidRPr="006D2ABB" w:rsidRDefault="006D2ABB" w:rsidP="006D2ABB">
      <w:pPr>
        <w:pStyle w:val="DipnotMetni"/>
        <w:bidi/>
        <w:rPr>
          <w:rtl/>
        </w:rPr>
      </w:pPr>
      <w:r w:rsidRPr="006D2ABB">
        <w:rPr>
          <w:vertAlign w:val="superscript"/>
          <w:rtl/>
          <w:lang w:val="ar-SA"/>
        </w:rPr>
        <w:footnoteRef/>
      </w:r>
      <w:r w:rsidRPr="006D2ABB">
        <w:rPr>
          <w:rFonts w:hint="cs"/>
          <w:rtl/>
        </w:rPr>
        <w:t xml:space="preserve"> </w:t>
      </w:r>
      <w:r w:rsidRPr="006D2ABB">
        <w:rPr>
          <w:vertAlign w:val="superscript"/>
          <w:rtl/>
          <w:lang w:val="ar-SA"/>
        </w:rPr>
        <w:tab/>
      </w:r>
      <w:r w:rsidRPr="006D2ABB">
        <w:rPr>
          <w:rFonts w:hint="cs"/>
          <w:rtl/>
        </w:rPr>
        <w:t>وفي هامش ب: المؤمنين.</w:t>
      </w:r>
    </w:p>
  </w:footnote>
  <w:footnote w:id="79">
    <w:p w:rsidR="006D2ABB" w:rsidRPr="006D2ABB" w:rsidRDefault="006D2ABB" w:rsidP="006D2ABB">
      <w:pPr>
        <w:pStyle w:val="DipnotMetni"/>
        <w:bidi/>
        <w:rPr>
          <w:rtl/>
        </w:rPr>
      </w:pPr>
      <w:r w:rsidRPr="006D2ABB">
        <w:rPr>
          <w:vertAlign w:val="superscript"/>
          <w:rtl/>
          <w:lang w:val="ar-SA"/>
        </w:rPr>
        <w:footnoteRef/>
      </w:r>
      <w:r w:rsidRPr="006D2ABB">
        <w:rPr>
          <w:rFonts w:hint="cs"/>
          <w:rtl/>
        </w:rPr>
        <w:t xml:space="preserve"> </w:t>
      </w:r>
      <w:r w:rsidRPr="006D2ABB">
        <w:rPr>
          <w:vertAlign w:val="superscript"/>
          <w:rtl/>
          <w:lang w:val="ar-SA"/>
        </w:rPr>
        <w:tab/>
      </w:r>
      <w:r w:rsidRPr="006D2ABB">
        <w:rPr>
          <w:rFonts w:hint="cs"/>
          <w:rtl/>
        </w:rPr>
        <w:t>ق: أين.</w:t>
      </w:r>
    </w:p>
  </w:footnote>
  <w:footnote w:id="80">
    <w:p w:rsidR="006D2ABB" w:rsidRPr="006D2ABB" w:rsidRDefault="006D2ABB" w:rsidP="006D2ABB">
      <w:pPr>
        <w:pStyle w:val="DipnotMetni"/>
        <w:bidi/>
        <w:rPr>
          <w:rtl/>
        </w:rPr>
      </w:pPr>
      <w:r w:rsidRPr="006D2ABB">
        <w:rPr>
          <w:rStyle w:val="DipnotBavurusu"/>
          <w:szCs w:val="18"/>
        </w:rPr>
        <w:footnoteRef/>
      </w:r>
      <w:r w:rsidRPr="006D2ABB">
        <w:rPr>
          <w:rFonts w:hint="cs"/>
          <w:rtl/>
        </w:rPr>
        <w:t xml:space="preserve"> </w:t>
      </w:r>
      <w:r w:rsidRPr="006D2ABB">
        <w:rPr>
          <w:rStyle w:val="DipnotBavurusu"/>
          <w:szCs w:val="18"/>
          <w:rtl/>
        </w:rPr>
        <w:tab/>
      </w:r>
      <w:r w:rsidRPr="006D2ABB">
        <w:rPr>
          <w:rFonts w:hint="cs"/>
          <w:rtl/>
        </w:rPr>
        <w:t>ق ب: يطلب.</w:t>
      </w:r>
    </w:p>
  </w:footnote>
  <w:footnote w:id="81">
    <w:p w:rsidR="006D2ABB" w:rsidRPr="006D2ABB" w:rsidRDefault="006D2ABB" w:rsidP="006D2ABB">
      <w:pPr>
        <w:pStyle w:val="DipnotMetni"/>
        <w:bidi/>
        <w:rPr>
          <w:rtl/>
        </w:rPr>
      </w:pPr>
      <w:r w:rsidRPr="006D2ABB">
        <w:rPr>
          <w:vertAlign w:val="superscript"/>
          <w:rtl/>
          <w:lang w:val="ar-SA"/>
        </w:rPr>
        <w:footnoteRef/>
      </w:r>
      <w:r w:rsidRPr="006D2ABB">
        <w:rPr>
          <w:rFonts w:hint="cs"/>
          <w:rtl/>
        </w:rPr>
        <w:t xml:space="preserve"> </w:t>
      </w:r>
      <w:r w:rsidRPr="006D2ABB">
        <w:rPr>
          <w:vertAlign w:val="superscript"/>
          <w:rtl/>
          <w:lang w:val="ar-SA"/>
        </w:rPr>
        <w:tab/>
      </w:r>
      <w:r w:rsidRPr="006D2ABB">
        <w:rPr>
          <w:rFonts w:hint="cs"/>
          <w:rtl/>
        </w:rPr>
        <w:t>ق: إياك نستعين.</w:t>
      </w:r>
    </w:p>
  </w:footnote>
  <w:footnote w:id="82">
    <w:p w:rsidR="006D2ABB" w:rsidRPr="006D2ABB" w:rsidRDefault="006D2ABB" w:rsidP="006D2ABB">
      <w:pPr>
        <w:pStyle w:val="DipnotMetni"/>
        <w:bidi/>
      </w:pPr>
      <w:r w:rsidRPr="006D2ABB">
        <w:rPr>
          <w:vertAlign w:val="superscript"/>
          <w:rtl/>
          <w:lang w:val="ar-SA"/>
        </w:rPr>
        <w:footnoteRef/>
      </w:r>
      <w:r w:rsidRPr="006D2ABB">
        <w:rPr>
          <w:rFonts w:hint="cs"/>
          <w:rtl/>
        </w:rPr>
        <w:t xml:space="preserve"> </w:t>
      </w:r>
      <w:r w:rsidRPr="006D2ABB">
        <w:rPr>
          <w:vertAlign w:val="superscript"/>
          <w:rtl/>
          <w:lang w:val="ar-SA"/>
        </w:rPr>
        <w:tab/>
      </w:r>
      <w:r w:rsidRPr="006D2ABB">
        <w:rPr>
          <w:rFonts w:hint="cs"/>
          <w:rtl/>
        </w:rPr>
        <w:t>وفي هامش ب: من الهداية للإيمان.</w:t>
      </w:r>
    </w:p>
  </w:footnote>
  <w:footnote w:id="83">
    <w:p w:rsidR="006D2ABB" w:rsidRPr="006D2ABB" w:rsidRDefault="006D2ABB" w:rsidP="006D2ABB">
      <w:pPr>
        <w:pStyle w:val="DipnotMetni"/>
        <w:bidi/>
        <w:rPr>
          <w:rtl/>
        </w:rPr>
      </w:pPr>
      <w:r w:rsidRPr="006D2ABB">
        <w:rPr>
          <w:vertAlign w:val="superscript"/>
          <w:rtl/>
        </w:rPr>
        <w:footnoteRef/>
      </w:r>
      <w:r w:rsidRPr="006D2ABB">
        <w:rPr>
          <w:rFonts w:hint="cs"/>
          <w:rtl/>
        </w:rPr>
        <w:t xml:space="preserve"> </w:t>
      </w:r>
      <w:r w:rsidRPr="006D2ABB">
        <w:rPr>
          <w:vertAlign w:val="superscript"/>
          <w:rtl/>
        </w:rPr>
        <w:tab/>
      </w:r>
      <w:r w:rsidRPr="006D2ABB">
        <w:rPr>
          <w:rFonts w:hint="cs"/>
          <w:rtl/>
        </w:rPr>
        <w:t>عكس الثبات وهو الشرك والخروج عن الدين والعياذ بالله.</w:t>
      </w:r>
    </w:p>
  </w:footnote>
  <w:footnote w:id="84">
    <w:p w:rsidR="006D2ABB" w:rsidRPr="006D2ABB" w:rsidRDefault="006D2ABB" w:rsidP="006D2ABB">
      <w:pPr>
        <w:pStyle w:val="DipnotMetni"/>
        <w:bidi/>
        <w:rPr>
          <w:rtl/>
        </w:rPr>
      </w:pPr>
      <w:r w:rsidRPr="006D2ABB">
        <w:rPr>
          <w:vertAlign w:val="superscript"/>
          <w:rtl/>
        </w:rPr>
        <w:footnoteRef/>
      </w:r>
      <w:r w:rsidRPr="006D2ABB">
        <w:rPr>
          <w:rFonts w:hint="cs"/>
          <w:rtl/>
        </w:rPr>
        <w:t xml:space="preserve"> </w:t>
      </w:r>
      <w:r w:rsidRPr="006D2ABB">
        <w:rPr>
          <w:vertAlign w:val="superscript"/>
          <w:rtl/>
        </w:rPr>
        <w:tab/>
      </w:r>
      <w:r w:rsidRPr="006D2ABB">
        <w:rPr>
          <w:rFonts w:hint="cs"/>
          <w:rtl/>
        </w:rPr>
        <w:t xml:space="preserve"> الزيادة. </w:t>
      </w:r>
    </w:p>
  </w:footnote>
  <w:footnote w:id="85">
    <w:p w:rsidR="006D2ABB" w:rsidRPr="006D2ABB" w:rsidRDefault="006D2ABB" w:rsidP="006D2ABB">
      <w:pPr>
        <w:pStyle w:val="DipnotMetni"/>
        <w:bidi/>
        <w:rPr>
          <w:rtl/>
        </w:rPr>
      </w:pPr>
      <w:r w:rsidRPr="006D2ABB">
        <w:rPr>
          <w:vertAlign w:val="superscript"/>
          <w:rtl/>
          <w:lang w:val="ar-SA"/>
        </w:rPr>
        <w:footnoteRef/>
      </w:r>
      <w:r w:rsidRPr="006D2ABB">
        <w:rPr>
          <w:rFonts w:hint="cs"/>
          <w:rtl/>
        </w:rPr>
        <w:t xml:space="preserve"> </w:t>
      </w:r>
      <w:r w:rsidRPr="006D2ABB">
        <w:rPr>
          <w:vertAlign w:val="superscript"/>
          <w:rtl/>
          <w:lang w:val="ar-SA"/>
        </w:rPr>
        <w:tab/>
      </w:r>
      <w:r w:rsidRPr="006D2ABB">
        <w:rPr>
          <w:rFonts w:hint="cs"/>
          <w:rtl/>
        </w:rPr>
        <w:t xml:space="preserve">ب: الفائقة. </w:t>
      </w:r>
    </w:p>
  </w:footnote>
  <w:footnote w:id="86">
    <w:p w:rsidR="006D2ABB" w:rsidRPr="006D2ABB" w:rsidRDefault="006D2ABB" w:rsidP="006D2ABB">
      <w:pPr>
        <w:pStyle w:val="DipnotMetni"/>
        <w:bidi/>
        <w:rPr>
          <w:rtl/>
        </w:rPr>
      </w:pPr>
      <w:r w:rsidRPr="006D2ABB">
        <w:rPr>
          <w:vertAlign w:val="superscript"/>
          <w:rtl/>
          <w:lang w:val="ar-SA"/>
        </w:rPr>
        <w:footnoteRef/>
      </w:r>
      <w:r w:rsidRPr="006D2ABB">
        <w:rPr>
          <w:rFonts w:hint="cs"/>
          <w:rtl/>
          <w:lang w:val="ar-SA"/>
        </w:rPr>
        <w:t xml:space="preserve"> </w:t>
      </w:r>
      <w:r w:rsidRPr="006D2ABB">
        <w:rPr>
          <w:vertAlign w:val="superscript"/>
          <w:rtl/>
          <w:lang w:val="ar-SA"/>
        </w:rPr>
        <w:tab/>
      </w:r>
      <w:r w:rsidRPr="006D2ABB">
        <w:rPr>
          <w:rFonts w:hint="cs"/>
          <w:rtl/>
          <w:lang w:val="ar-SA"/>
        </w:rPr>
        <w:t>في هامش ب: غير المغضوب عليهم  أي اليهود حيث حل لهم غضبه غضب الله  ولعنه، « ولا الضالّين» أي النصارى بإفراطهم في المسيح حيث جعله ابنا الله.</w:t>
      </w:r>
    </w:p>
  </w:footnote>
  <w:footnote w:id="87">
    <w:p w:rsidR="006D2ABB" w:rsidRPr="006D2ABB" w:rsidRDefault="006D2ABB" w:rsidP="006D2ABB">
      <w:pPr>
        <w:pStyle w:val="DipnotMetni"/>
        <w:bidi/>
        <w:rPr>
          <w:rtl/>
        </w:rPr>
      </w:pPr>
      <w:r w:rsidRPr="006D2ABB">
        <w:rPr>
          <w:vertAlign w:val="superscript"/>
          <w:rtl/>
        </w:rPr>
        <w:footnoteRef/>
      </w:r>
      <w:r w:rsidRPr="006D2ABB">
        <w:rPr>
          <w:rFonts w:hint="cs"/>
          <w:rtl/>
        </w:rPr>
        <w:t xml:space="preserve"> </w:t>
      </w:r>
      <w:r w:rsidRPr="006D2ABB">
        <w:rPr>
          <w:vertAlign w:val="superscript"/>
          <w:rtl/>
        </w:rPr>
        <w:tab/>
      </w:r>
      <w:r w:rsidRPr="006D2ABB">
        <w:rPr>
          <w:rFonts w:hint="cs"/>
          <w:rtl/>
        </w:rPr>
        <w:t>ب: يعتد.</w:t>
      </w:r>
    </w:p>
  </w:footnote>
  <w:footnote w:id="88">
    <w:p w:rsidR="006D2ABB" w:rsidRPr="006D2ABB" w:rsidRDefault="006D2ABB" w:rsidP="006D2ABB">
      <w:pPr>
        <w:pStyle w:val="DipnotMetni"/>
        <w:bidi/>
        <w:rPr>
          <w:rtl/>
        </w:rPr>
      </w:pPr>
      <w:r w:rsidRPr="006D2ABB">
        <w:rPr>
          <w:rStyle w:val="DipnotBavurusu"/>
          <w:szCs w:val="18"/>
        </w:rPr>
        <w:footnoteRef/>
      </w:r>
      <w:r w:rsidRPr="006D2ABB">
        <w:rPr>
          <w:rFonts w:hint="cs"/>
          <w:rtl/>
        </w:rPr>
        <w:t xml:space="preserve"> </w:t>
      </w:r>
      <w:r w:rsidRPr="006D2ABB">
        <w:rPr>
          <w:rStyle w:val="DipnotBavurusu"/>
          <w:szCs w:val="18"/>
          <w:rtl/>
        </w:rPr>
        <w:tab/>
      </w:r>
      <w:r w:rsidRPr="006D2ABB">
        <w:rPr>
          <w:rFonts w:hint="cs"/>
          <w:rtl/>
        </w:rPr>
        <w:t xml:space="preserve"> ق ب: يتبين.</w:t>
      </w:r>
    </w:p>
  </w:footnote>
  <w:footnote w:id="89">
    <w:p w:rsidR="006D2ABB" w:rsidRPr="006D2ABB" w:rsidRDefault="006D2ABB" w:rsidP="006D2ABB">
      <w:pPr>
        <w:pStyle w:val="DipnotMetni"/>
        <w:bidi/>
        <w:rPr>
          <w:rtl/>
        </w:rPr>
      </w:pPr>
      <w:r w:rsidRPr="006D2ABB">
        <w:rPr>
          <w:vertAlign w:val="superscript"/>
          <w:rtl/>
          <w:lang w:val="ar-SA"/>
        </w:rPr>
        <w:footnoteRef/>
      </w:r>
      <w:r w:rsidRPr="006D2ABB">
        <w:rPr>
          <w:rFonts w:hint="cs"/>
          <w:rtl/>
          <w:lang w:val="ar-SA"/>
        </w:rPr>
        <w:t xml:space="preserve"> </w:t>
      </w:r>
      <w:r w:rsidRPr="006D2ABB">
        <w:rPr>
          <w:vertAlign w:val="superscript"/>
          <w:rtl/>
          <w:lang w:val="ar-SA"/>
        </w:rPr>
        <w:tab/>
      </w:r>
      <w:r w:rsidRPr="006D2ABB">
        <w:rPr>
          <w:rFonts w:hint="cs"/>
          <w:rtl/>
          <w:lang w:val="ar-SA"/>
        </w:rPr>
        <w:t>ب+ الرسالة لمولانا خسرو وعلى يد أضعف العباد عبد الباقي معروف بيجاقجي إبراهيم آغا. في شهر ذى القعدة في يوم الأربعاء في وقت هو وقت الضحى في سنة إحدى وثمانين وألف (١٠٨١) من هجرة خير البرية.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ABB" w:rsidRDefault="006D2ABB" w:rsidP="009B097D">
    <w:pPr>
      <w:pStyle w:val="stbilgi"/>
    </w:pPr>
    <w:r>
      <w:rPr>
        <w:rStyle w:val="SayfaNumaras"/>
      </w:rPr>
      <w:fldChar w:fldCharType="begin"/>
    </w:r>
    <w:r>
      <w:rPr>
        <w:rStyle w:val="SayfaNumaras"/>
      </w:rPr>
      <w:instrText xml:space="preserve"> PAGE </w:instrText>
    </w:r>
    <w:r>
      <w:rPr>
        <w:rStyle w:val="SayfaNumaras"/>
      </w:rPr>
      <w:fldChar w:fldCharType="separate"/>
    </w:r>
    <w:r w:rsidR="00352909">
      <w:rPr>
        <w:rStyle w:val="SayfaNumaras"/>
        <w:noProof/>
      </w:rPr>
      <w:t>214</w:t>
    </w:r>
    <w:r>
      <w:rPr>
        <w:rStyle w:val="SayfaNumaras"/>
      </w:rPr>
      <w:fldChar w:fldCharType="end"/>
    </w:r>
    <w:r>
      <w:t xml:space="preserve"> </w:t>
    </w:r>
    <w:r w:rsidRPr="00E70DE1">
      <w:rPr>
        <w:rFonts w:hint="eastAsia"/>
      </w:rPr>
      <w:t></w:t>
    </w:r>
    <w:r w:rsidR="008A7F21">
      <w:t xml:space="preserve"> </w:t>
    </w:r>
    <w:r w:rsidR="009B097D">
      <w:t>Ceyda Gürman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ABB" w:rsidRDefault="006D2ABB" w:rsidP="009B097D">
    <w:pPr>
      <w:pStyle w:val="stbilgi"/>
    </w:pPr>
    <w:r>
      <w:tab/>
    </w:r>
    <w:r w:rsidR="009B097D" w:rsidRPr="009B097D">
      <w:rPr>
        <w:rFonts w:cs="Traditional Naskh" w:hint="eastAsia"/>
        <w:rtl/>
      </w:rPr>
      <w:t>رسالة</w:t>
    </w:r>
    <w:r w:rsidR="009B097D" w:rsidRPr="009B097D">
      <w:rPr>
        <w:rFonts w:cs="Traditional Naskh"/>
        <w:rtl/>
      </w:rPr>
      <w:t xml:space="preserve"> </w:t>
    </w:r>
    <w:r w:rsidR="009B097D" w:rsidRPr="009B097D">
      <w:rPr>
        <w:rFonts w:cs="Traditional Naskh" w:hint="eastAsia"/>
        <w:rtl/>
      </w:rPr>
      <w:t>في</w:t>
    </w:r>
    <w:r w:rsidR="009B097D" w:rsidRPr="009B097D">
      <w:rPr>
        <w:rFonts w:cs="Traditional Naskh"/>
        <w:rtl/>
      </w:rPr>
      <w:t xml:space="preserve"> </w:t>
    </w:r>
    <w:r w:rsidR="009B097D" w:rsidRPr="009B097D">
      <w:rPr>
        <w:rFonts w:cs="Traditional Naskh" w:hint="eastAsia"/>
        <w:rtl/>
      </w:rPr>
      <w:t>أسرار</w:t>
    </w:r>
    <w:r w:rsidR="009B097D" w:rsidRPr="009B097D">
      <w:rPr>
        <w:rFonts w:cs="Traditional Naskh"/>
        <w:rtl/>
      </w:rPr>
      <w:t xml:space="preserve"> </w:t>
    </w:r>
    <w:r w:rsidR="009B097D" w:rsidRPr="009B097D">
      <w:rPr>
        <w:rFonts w:cs="Traditional Naskh" w:hint="eastAsia"/>
        <w:rtl/>
      </w:rPr>
      <w:t>الفاتحة</w:t>
    </w:r>
    <w:r w:rsidR="009B097D" w:rsidRPr="009B097D">
      <w:rPr>
        <w:rFonts w:cs="Traditional Naskh"/>
        <w:rtl/>
      </w:rPr>
      <w:t xml:space="preserve"> </w:t>
    </w:r>
    <w:r w:rsidR="009B097D" w:rsidRPr="009B097D">
      <w:rPr>
        <w:rFonts w:cs="Traditional Naskh" w:hint="eastAsia"/>
        <w:rtl/>
      </w:rPr>
      <w:t>لملا</w:t>
    </w:r>
    <w:r w:rsidR="009B097D" w:rsidRPr="009B097D">
      <w:rPr>
        <w:rFonts w:cs="Traditional Naskh"/>
        <w:rtl/>
      </w:rPr>
      <w:t xml:space="preserve"> </w:t>
    </w:r>
    <w:r w:rsidR="009B097D" w:rsidRPr="009B097D">
      <w:rPr>
        <w:rFonts w:cs="Traditional Naskh" w:hint="eastAsia"/>
        <w:rtl/>
      </w:rPr>
      <w:t>خسرو</w:t>
    </w:r>
    <w:r w:rsidR="009B097D" w:rsidRPr="009B097D">
      <w:rPr>
        <w:rFonts w:cs="Traditional Naskh"/>
        <w:rtl/>
      </w:rPr>
      <w:t xml:space="preserve"> </w:t>
    </w:r>
    <w:r w:rsidR="009B097D" w:rsidRPr="009B097D">
      <w:rPr>
        <w:rFonts w:cs="Traditional Naskh" w:hint="eastAsia"/>
        <w:rtl/>
      </w:rPr>
      <w:t>دراسة</w:t>
    </w:r>
    <w:r w:rsidR="009B097D" w:rsidRPr="009B097D">
      <w:rPr>
        <w:rFonts w:cs="Traditional Naskh"/>
        <w:rtl/>
      </w:rPr>
      <w:t xml:space="preserve"> </w:t>
    </w:r>
    <w:r w:rsidR="009B097D" w:rsidRPr="009B097D">
      <w:rPr>
        <w:rFonts w:cs="Traditional Naskh" w:hint="eastAsia"/>
        <w:rtl/>
      </w:rPr>
      <w:t>وتحقيق</w:t>
    </w:r>
    <w:r w:rsidR="008A7F21">
      <w:t xml:space="preserve"> </w:t>
    </w:r>
    <w:r w:rsidRPr="00E70DE1">
      <w:rPr>
        <w:rFonts w:hint="eastAsia"/>
      </w:rPr>
      <w:t></w:t>
    </w:r>
    <w:r>
      <w:t xml:space="preserve"> </w:t>
    </w:r>
    <w:r>
      <w:fldChar w:fldCharType="begin"/>
    </w:r>
    <w:r>
      <w:instrText xml:space="preserve"> PAGE </w:instrText>
    </w:r>
    <w:r>
      <w:fldChar w:fldCharType="separate"/>
    </w:r>
    <w:r w:rsidR="00352909">
      <w:rPr>
        <w:noProof/>
      </w:rPr>
      <w:t>215</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2ABB" w:rsidRPr="00635443" w:rsidRDefault="006D2ABB" w:rsidP="00777672">
    <w:pPr>
      <w:pStyle w:val="Abstracttext"/>
      <w:jc w:val="right"/>
      <w:rPr>
        <w:lang w:val="tr-TR"/>
      </w:rPr>
    </w:pPr>
    <w:r>
      <w:rPr>
        <w:i/>
        <w:noProof/>
        <w:lang w:eastAsia="en-US"/>
      </w:rPr>
      <mc:AlternateContent>
        <mc:Choice Requires="wps">
          <w:drawing>
            <wp:anchor distT="0" distB="0" distL="114300" distR="114300" simplePos="0" relativeHeight="251659264" behindDoc="0" locked="0" layoutInCell="1" allowOverlap="1" wp14:anchorId="164B7B51" wp14:editId="68C697E2">
              <wp:simplePos x="0" y="0"/>
              <wp:positionH relativeFrom="margin">
                <wp:align>right</wp:align>
              </wp:positionH>
              <wp:positionV relativeFrom="paragraph">
                <wp:posOffset>-217500</wp:posOffset>
              </wp:positionV>
              <wp:extent cx="1221638" cy="129549"/>
              <wp:effectExtent l="0" t="0" r="17145" b="3810"/>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1638" cy="129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ABB" w:rsidRPr="00C634B9" w:rsidRDefault="006D2ABB" w:rsidP="00C22002">
                          <w:pPr>
                            <w:pStyle w:val="stbilgi"/>
                            <w:jc w:val="right"/>
                            <w:rPr>
                              <w:lang w:val="en-US"/>
                            </w:rPr>
                          </w:pPr>
                          <w:r>
                            <w:rPr>
                              <w:rFonts w:ascii="Minion Pro" w:hAnsi="Minion Pro" w:cs="Minion Pro"/>
                              <w:color w:val="000000"/>
                              <w:sz w:val="20"/>
                              <w:lang w:val="en-US"/>
                            </w:rPr>
                            <w:t xml:space="preserve"> </w:t>
                          </w:r>
                          <w:r>
                            <w:t>ISSN 1305 - 2632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w14:anchorId="164B7B51" id="Rectangle 8" o:spid="_x0000_s1026" style="position:absolute;left:0;text-align:left;margin-left:45pt;margin-top:-17.15pt;width:96.2pt;height:10.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" filled="f" stroked="f">
              <v:textbox inset="0,0,0,0">
                <w:txbxContent>
                  <w:p w:rsidR="006D2ABB" w:rsidRPr="00C634B9" w:rsidRDefault="006D2ABB" w:rsidP="00C22002">
                    <w:pPr>
                      <w:pStyle w:val="stbilgi"/>
                      <w:jc w:val="right"/>
                      <w:rPr>
                        <w:lang w:val="en-US"/>
                      </w:rPr>
                    </w:pPr>
                    <w:r>
                      <w:rPr>
                        <w:rFonts w:ascii="Minion Pro" w:hAnsi="Minion Pro" w:cs="Minion Pro"/>
                        <w:color w:val="000000"/>
                        <w:sz w:val="20"/>
                        <w:lang w:val="en-US"/>
                      </w:rPr>
                      <w:t xml:space="preserve"> </w:t>
                    </w:r>
                    <w:r>
                      <w:t>ISSN 1305 - 2632</w:t>
                    </w:r>
                  </w:p>
                </w:txbxContent>
              </v:textbox>
              <w10:wrap anchorx="margin"/>
            </v:rect>
          </w:pict>
        </mc:Fallback>
      </mc:AlternateContent>
    </w:r>
    <w:r>
      <w:rPr>
        <w:rStyle w:val="Usul-Italic"/>
      </w:rPr>
      <w:t>Usûl İslam Araştırmaları</w:t>
    </w:r>
    <w:r>
      <w:rPr>
        <w:lang w:val="tr-TR"/>
      </w:rPr>
      <w:t xml:space="preserve">, 28 (2017), </w:t>
    </w:r>
    <w:r>
      <w:t>s.</w:t>
    </w:r>
    <w:r>
      <w:rPr>
        <w:lang w:val="tr-TR"/>
      </w:rPr>
      <w:t xml:space="preserve"> </w:t>
    </w:r>
    <w:r>
      <w:rPr>
        <w:lang w:val="tr-TR"/>
      </w:rPr>
      <w:fldChar w:fldCharType="begin"/>
    </w:r>
    <w:r>
      <w:rPr>
        <w:lang w:val="tr-TR"/>
      </w:rPr>
      <w:instrText xml:space="preserve"> page </w:instrText>
    </w:r>
    <w:r>
      <w:rPr>
        <w:lang w:val="tr-TR"/>
      </w:rPr>
      <w:fldChar w:fldCharType="separate"/>
    </w:r>
    <w:r w:rsidR="00352909">
      <w:rPr>
        <w:noProof/>
        <w:lang w:val="tr-TR"/>
      </w:rPr>
      <w:t>213</w:t>
    </w:r>
    <w:r>
      <w:rPr>
        <w:lang w:val="tr-TR"/>
      </w:rPr>
      <w:fldChar w:fldCharType="end"/>
    </w:r>
    <w:r>
      <w:rPr>
        <w:lang w:val="tr-TR"/>
      </w:rPr>
      <w:t xml:space="preserve"> - </w:t>
    </w:r>
    <w:r>
      <w:rPr>
        <w:lang w:val="tr-TR"/>
      </w:rPr>
      <w:fldChar w:fldCharType="begin"/>
    </w:r>
    <w:r>
      <w:rPr>
        <w:lang w:val="tr-TR"/>
      </w:rPr>
      <w:instrText xml:space="preserve"> = </w:instrText>
    </w:r>
    <w:r>
      <w:rPr>
        <w:lang w:val="tr-TR"/>
      </w:rPr>
      <w:fldChar w:fldCharType="begin"/>
    </w:r>
    <w:r>
      <w:rPr>
        <w:lang w:val="tr-TR"/>
      </w:rPr>
      <w:instrText xml:space="preserve"> page </w:instrText>
    </w:r>
    <w:r>
      <w:rPr>
        <w:lang w:val="tr-TR"/>
      </w:rPr>
      <w:fldChar w:fldCharType="separate"/>
    </w:r>
    <w:r w:rsidR="00352909">
      <w:rPr>
        <w:noProof/>
        <w:lang w:val="tr-TR"/>
      </w:rPr>
      <w:instrText>213</w:instrText>
    </w:r>
    <w:r>
      <w:rPr>
        <w:lang w:val="tr-TR"/>
      </w:rPr>
      <w:fldChar w:fldCharType="end"/>
    </w:r>
    <w:r>
      <w:rPr>
        <w:lang w:val="tr-TR"/>
      </w:rPr>
      <w:instrText xml:space="preserve"> + (</w:instrText>
    </w:r>
    <w:r>
      <w:rPr>
        <w:lang w:val="tr-TR"/>
      </w:rPr>
      <w:fldChar w:fldCharType="begin"/>
    </w:r>
    <w:r>
      <w:rPr>
        <w:lang w:val="tr-TR"/>
      </w:rPr>
      <w:instrText xml:space="preserve"> numpages </w:instrText>
    </w:r>
    <w:r>
      <w:rPr>
        <w:lang w:val="tr-TR"/>
      </w:rPr>
      <w:fldChar w:fldCharType="separate"/>
    </w:r>
    <w:r w:rsidR="00352909">
      <w:rPr>
        <w:noProof/>
        <w:lang w:val="tr-TR"/>
      </w:rPr>
      <w:instrText>16</w:instrText>
    </w:r>
    <w:r>
      <w:rPr>
        <w:lang w:val="tr-TR"/>
      </w:rPr>
      <w:fldChar w:fldCharType="end"/>
    </w:r>
    <w:r>
      <w:rPr>
        <w:lang w:val="tr-TR"/>
      </w:rPr>
      <w:instrText xml:space="preserve"> - 1) </w:instrText>
    </w:r>
    <w:r>
      <w:rPr>
        <w:lang w:val="tr-TR"/>
      </w:rPr>
      <w:fldChar w:fldCharType="separate"/>
    </w:r>
    <w:r w:rsidR="00352909">
      <w:rPr>
        <w:noProof/>
        <w:lang w:val="tr-TR"/>
      </w:rPr>
      <w:t>228</w:t>
    </w:r>
    <w:r>
      <w:rPr>
        <w:lang w:val="tr-T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442C6"/>
    <w:multiLevelType w:val="hybridMultilevel"/>
    <w:tmpl w:val="A86CB70C"/>
    <w:lvl w:ilvl="0" w:tplc="F14EE9C4">
      <w:start w:val="1"/>
      <w:numFmt w:val="bullet"/>
      <w:pStyle w:val="Usul-List1"/>
      <w:lvlText w:val=""/>
      <w:lvlJc w:val="left"/>
      <w:pPr>
        <w:tabs>
          <w:tab w:val="num" w:pos="284"/>
        </w:tabs>
        <w:ind w:left="284" w:hanging="284"/>
      </w:pPr>
      <w:rPr>
        <w:rFonts w:ascii="Wingdings 2" w:hAnsi="Wingdings 2" w:hint="default"/>
        <w:sz w:val="16"/>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F376F26"/>
    <w:multiLevelType w:val="hybridMultilevel"/>
    <w:tmpl w:val="D5E2D78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4E2B1DA6"/>
    <w:multiLevelType w:val="hybridMultilevel"/>
    <w:tmpl w:val="42866236"/>
    <w:lvl w:ilvl="0" w:tplc="C5F6052E">
      <w:start w:val="1"/>
      <w:numFmt w:val="decimal"/>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3" w15:restartNumberingAfterBreak="0">
    <w:nsid w:val="7A2F23F9"/>
    <w:multiLevelType w:val="hybridMultilevel"/>
    <w:tmpl w:val="580E7522"/>
    <w:lvl w:ilvl="0" w:tplc="04090013">
      <w:start w:val="1"/>
      <w:numFmt w:val="upperRoman"/>
      <w:lvlText w:val="%1."/>
      <w:lvlJc w:val="right"/>
      <w:pPr>
        <w:ind w:left="785"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0"/>
  </w:num>
  <w:num w:numId="2">
    <w:abstractNumId w:val="3"/>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activeWritingStyle w:appName="MSWord" w:lang="en-US" w:vendorID="64" w:dllVersion="6" w:nlCheck="1" w:checkStyle="1"/>
  <w:activeWritingStyle w:appName="MSWord" w:lang="en-US" w:vendorID="64" w:dllVersion="5" w:nlCheck="1" w:checkStyle="1"/>
  <w:activeWritingStyle w:appName="MSWord" w:lang="tr-TR" w:vendorID="64" w:dllVersion="0" w:nlCheck="1" w:checkStyle="0"/>
  <w:activeWritingStyle w:appName="MSWord" w:lang="en-US"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567"/>
  <w:doNotHyphenateCaps/>
  <w:evenAndOddHeaders/>
  <w:drawingGridHorizontalSpacing w:val="181"/>
  <w:drawingGridVerticalSpacing w:val="181"/>
  <w:noPunctuationKerning/>
  <w:characterSpacingControl w:val="doNotCompress"/>
  <w:hdrShapeDefaults>
    <o:shapedefaults v:ext="edit" spidmax="2049"/>
  </w:hdrShapeDefaults>
  <w:footnotePr>
    <w:numRestart w:val="eachSec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672"/>
    <w:rsid w:val="00000E29"/>
    <w:rsid w:val="0000517C"/>
    <w:rsid w:val="00011ED2"/>
    <w:rsid w:val="00017DFE"/>
    <w:rsid w:val="00026570"/>
    <w:rsid w:val="0003048F"/>
    <w:rsid w:val="000305F3"/>
    <w:rsid w:val="00035A66"/>
    <w:rsid w:val="00043511"/>
    <w:rsid w:val="00050761"/>
    <w:rsid w:val="0005126A"/>
    <w:rsid w:val="00055F5B"/>
    <w:rsid w:val="00061C53"/>
    <w:rsid w:val="00062DAC"/>
    <w:rsid w:val="0006468D"/>
    <w:rsid w:val="00064C1B"/>
    <w:rsid w:val="00066CE2"/>
    <w:rsid w:val="000707AC"/>
    <w:rsid w:val="00071BFE"/>
    <w:rsid w:val="00072DDC"/>
    <w:rsid w:val="00073DEC"/>
    <w:rsid w:val="00075FD3"/>
    <w:rsid w:val="00076302"/>
    <w:rsid w:val="0008301B"/>
    <w:rsid w:val="0008306E"/>
    <w:rsid w:val="00083384"/>
    <w:rsid w:val="00086AE7"/>
    <w:rsid w:val="00086CA5"/>
    <w:rsid w:val="000877A7"/>
    <w:rsid w:val="00087C42"/>
    <w:rsid w:val="0009016C"/>
    <w:rsid w:val="0009191F"/>
    <w:rsid w:val="000A01DB"/>
    <w:rsid w:val="000A2636"/>
    <w:rsid w:val="000A4689"/>
    <w:rsid w:val="000B4999"/>
    <w:rsid w:val="000B5122"/>
    <w:rsid w:val="000B5B94"/>
    <w:rsid w:val="000B675A"/>
    <w:rsid w:val="000B6917"/>
    <w:rsid w:val="000B6A47"/>
    <w:rsid w:val="000C1D18"/>
    <w:rsid w:val="000C20FD"/>
    <w:rsid w:val="000D2245"/>
    <w:rsid w:val="000D42F4"/>
    <w:rsid w:val="000D4ECD"/>
    <w:rsid w:val="000D6DF6"/>
    <w:rsid w:val="000D7F9B"/>
    <w:rsid w:val="000E2CFB"/>
    <w:rsid w:val="000E6226"/>
    <w:rsid w:val="000E7086"/>
    <w:rsid w:val="000F68FF"/>
    <w:rsid w:val="000F7132"/>
    <w:rsid w:val="000F7692"/>
    <w:rsid w:val="00105572"/>
    <w:rsid w:val="0011071E"/>
    <w:rsid w:val="00113F6B"/>
    <w:rsid w:val="00114263"/>
    <w:rsid w:val="00114483"/>
    <w:rsid w:val="0011546F"/>
    <w:rsid w:val="001165A5"/>
    <w:rsid w:val="00125156"/>
    <w:rsid w:val="001377E3"/>
    <w:rsid w:val="00141C76"/>
    <w:rsid w:val="0014768E"/>
    <w:rsid w:val="00155828"/>
    <w:rsid w:val="001644C8"/>
    <w:rsid w:val="00164655"/>
    <w:rsid w:val="00164E12"/>
    <w:rsid w:val="00165A83"/>
    <w:rsid w:val="001679DF"/>
    <w:rsid w:val="00172CA7"/>
    <w:rsid w:val="001731A4"/>
    <w:rsid w:val="00174EB4"/>
    <w:rsid w:val="00181A0D"/>
    <w:rsid w:val="00182B75"/>
    <w:rsid w:val="00185383"/>
    <w:rsid w:val="0018620D"/>
    <w:rsid w:val="001A0347"/>
    <w:rsid w:val="001A06C1"/>
    <w:rsid w:val="001A071A"/>
    <w:rsid w:val="001A1359"/>
    <w:rsid w:val="001B0685"/>
    <w:rsid w:val="001B2832"/>
    <w:rsid w:val="001B30A0"/>
    <w:rsid w:val="001B5712"/>
    <w:rsid w:val="001B5A9C"/>
    <w:rsid w:val="001C3A36"/>
    <w:rsid w:val="001C3C31"/>
    <w:rsid w:val="001C3E69"/>
    <w:rsid w:val="001C45C1"/>
    <w:rsid w:val="001D2FF2"/>
    <w:rsid w:val="001D550D"/>
    <w:rsid w:val="001E1894"/>
    <w:rsid w:val="001E1B45"/>
    <w:rsid w:val="001E39C8"/>
    <w:rsid w:val="001E3C44"/>
    <w:rsid w:val="001F1D44"/>
    <w:rsid w:val="001F2821"/>
    <w:rsid w:val="001F6CB0"/>
    <w:rsid w:val="00212A24"/>
    <w:rsid w:val="00213974"/>
    <w:rsid w:val="00214D69"/>
    <w:rsid w:val="00214D96"/>
    <w:rsid w:val="002167FC"/>
    <w:rsid w:val="00223B3F"/>
    <w:rsid w:val="002251D2"/>
    <w:rsid w:val="00225301"/>
    <w:rsid w:val="00226706"/>
    <w:rsid w:val="00227438"/>
    <w:rsid w:val="00231998"/>
    <w:rsid w:val="00233AF1"/>
    <w:rsid w:val="00233DD6"/>
    <w:rsid w:val="00241745"/>
    <w:rsid w:val="00241753"/>
    <w:rsid w:val="00243EF0"/>
    <w:rsid w:val="00245452"/>
    <w:rsid w:val="00246632"/>
    <w:rsid w:val="00247C0A"/>
    <w:rsid w:val="00255E25"/>
    <w:rsid w:val="002560F1"/>
    <w:rsid w:val="00257358"/>
    <w:rsid w:val="00257B28"/>
    <w:rsid w:val="00260642"/>
    <w:rsid w:val="0026170B"/>
    <w:rsid w:val="002637BC"/>
    <w:rsid w:val="00270575"/>
    <w:rsid w:val="00270E84"/>
    <w:rsid w:val="00271421"/>
    <w:rsid w:val="002737F4"/>
    <w:rsid w:val="00273888"/>
    <w:rsid w:val="00280441"/>
    <w:rsid w:val="0029020F"/>
    <w:rsid w:val="00290CDF"/>
    <w:rsid w:val="002920F3"/>
    <w:rsid w:val="002928B6"/>
    <w:rsid w:val="002966E7"/>
    <w:rsid w:val="0029699A"/>
    <w:rsid w:val="0029774A"/>
    <w:rsid w:val="002A15FB"/>
    <w:rsid w:val="002A2AEE"/>
    <w:rsid w:val="002A3F8C"/>
    <w:rsid w:val="002B0685"/>
    <w:rsid w:val="002B10BE"/>
    <w:rsid w:val="002B3440"/>
    <w:rsid w:val="002B5E4F"/>
    <w:rsid w:val="002C3454"/>
    <w:rsid w:val="002D519C"/>
    <w:rsid w:val="002D59D7"/>
    <w:rsid w:val="002D5E21"/>
    <w:rsid w:val="002D7CBB"/>
    <w:rsid w:val="002E3A2A"/>
    <w:rsid w:val="002E754F"/>
    <w:rsid w:val="002F0856"/>
    <w:rsid w:val="002F2CD1"/>
    <w:rsid w:val="002F673B"/>
    <w:rsid w:val="00300CA1"/>
    <w:rsid w:val="0031315F"/>
    <w:rsid w:val="003151BB"/>
    <w:rsid w:val="00315F12"/>
    <w:rsid w:val="00323AE8"/>
    <w:rsid w:val="00323C81"/>
    <w:rsid w:val="003378FB"/>
    <w:rsid w:val="0034002E"/>
    <w:rsid w:val="003440F8"/>
    <w:rsid w:val="003501B5"/>
    <w:rsid w:val="003520FC"/>
    <w:rsid w:val="00352909"/>
    <w:rsid w:val="00354F4E"/>
    <w:rsid w:val="00356D0F"/>
    <w:rsid w:val="003622AB"/>
    <w:rsid w:val="00362692"/>
    <w:rsid w:val="0037410B"/>
    <w:rsid w:val="00385DF0"/>
    <w:rsid w:val="0038614C"/>
    <w:rsid w:val="00387D8F"/>
    <w:rsid w:val="00387D9C"/>
    <w:rsid w:val="0039403B"/>
    <w:rsid w:val="0039670D"/>
    <w:rsid w:val="00396BC6"/>
    <w:rsid w:val="003A1381"/>
    <w:rsid w:val="003A3CF8"/>
    <w:rsid w:val="003B3EA0"/>
    <w:rsid w:val="003C4F88"/>
    <w:rsid w:val="003D06E2"/>
    <w:rsid w:val="003D09C3"/>
    <w:rsid w:val="003D4BF6"/>
    <w:rsid w:val="003D6C69"/>
    <w:rsid w:val="003E04C2"/>
    <w:rsid w:val="003E1601"/>
    <w:rsid w:val="003E4482"/>
    <w:rsid w:val="003E5271"/>
    <w:rsid w:val="003E7CCC"/>
    <w:rsid w:val="003F27F8"/>
    <w:rsid w:val="003F3CBB"/>
    <w:rsid w:val="003F55AD"/>
    <w:rsid w:val="0040778B"/>
    <w:rsid w:val="004104C0"/>
    <w:rsid w:val="00410C61"/>
    <w:rsid w:val="00410C9F"/>
    <w:rsid w:val="00410F31"/>
    <w:rsid w:val="00425881"/>
    <w:rsid w:val="004307B7"/>
    <w:rsid w:val="00433A3C"/>
    <w:rsid w:val="00447E59"/>
    <w:rsid w:val="004537E1"/>
    <w:rsid w:val="00454C16"/>
    <w:rsid w:val="00454E43"/>
    <w:rsid w:val="004563F7"/>
    <w:rsid w:val="004637C4"/>
    <w:rsid w:val="004705B0"/>
    <w:rsid w:val="00470CC2"/>
    <w:rsid w:val="00471254"/>
    <w:rsid w:val="00473003"/>
    <w:rsid w:val="00483031"/>
    <w:rsid w:val="004874A1"/>
    <w:rsid w:val="00490069"/>
    <w:rsid w:val="00490BD7"/>
    <w:rsid w:val="00491667"/>
    <w:rsid w:val="004932EB"/>
    <w:rsid w:val="00493BE0"/>
    <w:rsid w:val="00497440"/>
    <w:rsid w:val="004A324D"/>
    <w:rsid w:val="004A35D0"/>
    <w:rsid w:val="004A77BA"/>
    <w:rsid w:val="004B07E2"/>
    <w:rsid w:val="004B4EBB"/>
    <w:rsid w:val="004C4552"/>
    <w:rsid w:val="004C694B"/>
    <w:rsid w:val="004D0507"/>
    <w:rsid w:val="004D0657"/>
    <w:rsid w:val="004D0974"/>
    <w:rsid w:val="004D3089"/>
    <w:rsid w:val="004D5C4E"/>
    <w:rsid w:val="004E0340"/>
    <w:rsid w:val="004E061E"/>
    <w:rsid w:val="004E1B82"/>
    <w:rsid w:val="004E77B1"/>
    <w:rsid w:val="004E786F"/>
    <w:rsid w:val="004E7B2F"/>
    <w:rsid w:val="004F0274"/>
    <w:rsid w:val="004F2D87"/>
    <w:rsid w:val="004F6E63"/>
    <w:rsid w:val="00503A71"/>
    <w:rsid w:val="005041C4"/>
    <w:rsid w:val="005122DA"/>
    <w:rsid w:val="00512C10"/>
    <w:rsid w:val="00513313"/>
    <w:rsid w:val="0051400D"/>
    <w:rsid w:val="00514F57"/>
    <w:rsid w:val="00517051"/>
    <w:rsid w:val="00523706"/>
    <w:rsid w:val="005261AF"/>
    <w:rsid w:val="005423E4"/>
    <w:rsid w:val="0055331E"/>
    <w:rsid w:val="00554680"/>
    <w:rsid w:val="00565464"/>
    <w:rsid w:val="005745C4"/>
    <w:rsid w:val="00576003"/>
    <w:rsid w:val="00577D14"/>
    <w:rsid w:val="00582AD5"/>
    <w:rsid w:val="00584315"/>
    <w:rsid w:val="005844C9"/>
    <w:rsid w:val="00590B4A"/>
    <w:rsid w:val="005A0B36"/>
    <w:rsid w:val="005A0E9C"/>
    <w:rsid w:val="005A1A99"/>
    <w:rsid w:val="005A2790"/>
    <w:rsid w:val="005A3BB6"/>
    <w:rsid w:val="005A5AE9"/>
    <w:rsid w:val="005A6511"/>
    <w:rsid w:val="005B7894"/>
    <w:rsid w:val="005C091A"/>
    <w:rsid w:val="005C23F5"/>
    <w:rsid w:val="005C5397"/>
    <w:rsid w:val="005C6DE3"/>
    <w:rsid w:val="005D08B6"/>
    <w:rsid w:val="005D3B92"/>
    <w:rsid w:val="005E6D5E"/>
    <w:rsid w:val="005F00A3"/>
    <w:rsid w:val="005F0858"/>
    <w:rsid w:val="005F4EAE"/>
    <w:rsid w:val="005F78F1"/>
    <w:rsid w:val="005F7DB5"/>
    <w:rsid w:val="00601DB7"/>
    <w:rsid w:val="00616878"/>
    <w:rsid w:val="006205B8"/>
    <w:rsid w:val="00620B84"/>
    <w:rsid w:val="006313D5"/>
    <w:rsid w:val="00632B8E"/>
    <w:rsid w:val="00635443"/>
    <w:rsid w:val="00644BA8"/>
    <w:rsid w:val="00644E58"/>
    <w:rsid w:val="00657FCF"/>
    <w:rsid w:val="00660632"/>
    <w:rsid w:val="00660AC4"/>
    <w:rsid w:val="00661EEE"/>
    <w:rsid w:val="0067318C"/>
    <w:rsid w:val="006750D9"/>
    <w:rsid w:val="00675334"/>
    <w:rsid w:val="00676510"/>
    <w:rsid w:val="006801F5"/>
    <w:rsid w:val="00682674"/>
    <w:rsid w:val="00682725"/>
    <w:rsid w:val="00684683"/>
    <w:rsid w:val="00685EAB"/>
    <w:rsid w:val="006869CE"/>
    <w:rsid w:val="006A4C1A"/>
    <w:rsid w:val="006B2AEC"/>
    <w:rsid w:val="006B4497"/>
    <w:rsid w:val="006B6219"/>
    <w:rsid w:val="006C1257"/>
    <w:rsid w:val="006C7D45"/>
    <w:rsid w:val="006D000E"/>
    <w:rsid w:val="006D16DC"/>
    <w:rsid w:val="006D2ABB"/>
    <w:rsid w:val="006D739F"/>
    <w:rsid w:val="006E2E50"/>
    <w:rsid w:val="006E68D5"/>
    <w:rsid w:val="006F02DD"/>
    <w:rsid w:val="006F1FE3"/>
    <w:rsid w:val="006F47FC"/>
    <w:rsid w:val="006F4B4E"/>
    <w:rsid w:val="006F4FD1"/>
    <w:rsid w:val="006F75D8"/>
    <w:rsid w:val="00701DAC"/>
    <w:rsid w:val="00704CD2"/>
    <w:rsid w:val="007072CF"/>
    <w:rsid w:val="00710180"/>
    <w:rsid w:val="00713C6E"/>
    <w:rsid w:val="00716F72"/>
    <w:rsid w:val="00720F0F"/>
    <w:rsid w:val="0073057A"/>
    <w:rsid w:val="007320F4"/>
    <w:rsid w:val="00733C71"/>
    <w:rsid w:val="007402CC"/>
    <w:rsid w:val="00742782"/>
    <w:rsid w:val="00743A87"/>
    <w:rsid w:val="00751F39"/>
    <w:rsid w:val="00753FAB"/>
    <w:rsid w:val="00756187"/>
    <w:rsid w:val="007608BB"/>
    <w:rsid w:val="00761115"/>
    <w:rsid w:val="00762F46"/>
    <w:rsid w:val="0076724E"/>
    <w:rsid w:val="00772DDC"/>
    <w:rsid w:val="00774E89"/>
    <w:rsid w:val="0077565E"/>
    <w:rsid w:val="00776AD5"/>
    <w:rsid w:val="007771E1"/>
    <w:rsid w:val="00777672"/>
    <w:rsid w:val="00780881"/>
    <w:rsid w:val="00786553"/>
    <w:rsid w:val="0079066E"/>
    <w:rsid w:val="00792E98"/>
    <w:rsid w:val="00797747"/>
    <w:rsid w:val="007B0A17"/>
    <w:rsid w:val="007B15E3"/>
    <w:rsid w:val="007B4E93"/>
    <w:rsid w:val="007B513D"/>
    <w:rsid w:val="007B6B7A"/>
    <w:rsid w:val="007B7373"/>
    <w:rsid w:val="007C178C"/>
    <w:rsid w:val="007C339C"/>
    <w:rsid w:val="007C4116"/>
    <w:rsid w:val="007C4A3C"/>
    <w:rsid w:val="007C785D"/>
    <w:rsid w:val="007D7DCD"/>
    <w:rsid w:val="007E1280"/>
    <w:rsid w:val="007E2A30"/>
    <w:rsid w:val="007E321B"/>
    <w:rsid w:val="007E421B"/>
    <w:rsid w:val="007E5265"/>
    <w:rsid w:val="007E7C0D"/>
    <w:rsid w:val="007F2F81"/>
    <w:rsid w:val="007F5A25"/>
    <w:rsid w:val="007F5E42"/>
    <w:rsid w:val="008016AD"/>
    <w:rsid w:val="00801D33"/>
    <w:rsid w:val="00802521"/>
    <w:rsid w:val="00802607"/>
    <w:rsid w:val="00804705"/>
    <w:rsid w:val="008072E5"/>
    <w:rsid w:val="0081047E"/>
    <w:rsid w:val="008107CC"/>
    <w:rsid w:val="00814B62"/>
    <w:rsid w:val="00815F58"/>
    <w:rsid w:val="00823527"/>
    <w:rsid w:val="00831B42"/>
    <w:rsid w:val="00833F52"/>
    <w:rsid w:val="00834A14"/>
    <w:rsid w:val="008353A9"/>
    <w:rsid w:val="00837539"/>
    <w:rsid w:val="00841605"/>
    <w:rsid w:val="00845A3C"/>
    <w:rsid w:val="00845E40"/>
    <w:rsid w:val="0085200E"/>
    <w:rsid w:val="00855FAB"/>
    <w:rsid w:val="00860753"/>
    <w:rsid w:val="00861DD8"/>
    <w:rsid w:val="00863E18"/>
    <w:rsid w:val="008652D6"/>
    <w:rsid w:val="0086775F"/>
    <w:rsid w:val="00881BC1"/>
    <w:rsid w:val="0088226B"/>
    <w:rsid w:val="00882D85"/>
    <w:rsid w:val="00883E0B"/>
    <w:rsid w:val="00884C44"/>
    <w:rsid w:val="00885D65"/>
    <w:rsid w:val="00887A64"/>
    <w:rsid w:val="0089235F"/>
    <w:rsid w:val="00893727"/>
    <w:rsid w:val="008938EA"/>
    <w:rsid w:val="00896E33"/>
    <w:rsid w:val="008A03AB"/>
    <w:rsid w:val="008A34BE"/>
    <w:rsid w:val="008A7AC9"/>
    <w:rsid w:val="008A7F21"/>
    <w:rsid w:val="008B25B5"/>
    <w:rsid w:val="008B7EB2"/>
    <w:rsid w:val="008C070F"/>
    <w:rsid w:val="008C09BD"/>
    <w:rsid w:val="008C3A3F"/>
    <w:rsid w:val="008C496B"/>
    <w:rsid w:val="008D1935"/>
    <w:rsid w:val="008D1B53"/>
    <w:rsid w:val="008D5527"/>
    <w:rsid w:val="008D5645"/>
    <w:rsid w:val="008E110B"/>
    <w:rsid w:val="008E3AD8"/>
    <w:rsid w:val="008E7D1D"/>
    <w:rsid w:val="008F0960"/>
    <w:rsid w:val="008F1EDC"/>
    <w:rsid w:val="008F5593"/>
    <w:rsid w:val="00902830"/>
    <w:rsid w:val="00903CA1"/>
    <w:rsid w:val="009062E8"/>
    <w:rsid w:val="0091012D"/>
    <w:rsid w:val="00911589"/>
    <w:rsid w:val="00911F51"/>
    <w:rsid w:val="00913512"/>
    <w:rsid w:val="00913B1F"/>
    <w:rsid w:val="00914F5A"/>
    <w:rsid w:val="00915BC8"/>
    <w:rsid w:val="009167B2"/>
    <w:rsid w:val="009259ED"/>
    <w:rsid w:val="00930C6B"/>
    <w:rsid w:val="00934A73"/>
    <w:rsid w:val="0093570A"/>
    <w:rsid w:val="009375D8"/>
    <w:rsid w:val="00943AE7"/>
    <w:rsid w:val="00944228"/>
    <w:rsid w:val="00944FA7"/>
    <w:rsid w:val="0094514A"/>
    <w:rsid w:val="00945E50"/>
    <w:rsid w:val="009505C2"/>
    <w:rsid w:val="00955C00"/>
    <w:rsid w:val="00956004"/>
    <w:rsid w:val="009577F3"/>
    <w:rsid w:val="0096361D"/>
    <w:rsid w:val="00963E8D"/>
    <w:rsid w:val="00965B82"/>
    <w:rsid w:val="00965C44"/>
    <w:rsid w:val="00970D4E"/>
    <w:rsid w:val="00975803"/>
    <w:rsid w:val="0099153E"/>
    <w:rsid w:val="009A02BE"/>
    <w:rsid w:val="009A2BAA"/>
    <w:rsid w:val="009A42A7"/>
    <w:rsid w:val="009A562C"/>
    <w:rsid w:val="009A7DC2"/>
    <w:rsid w:val="009B097D"/>
    <w:rsid w:val="009B2165"/>
    <w:rsid w:val="009B3AA2"/>
    <w:rsid w:val="009B3C09"/>
    <w:rsid w:val="009B4148"/>
    <w:rsid w:val="009B5C39"/>
    <w:rsid w:val="009C07DB"/>
    <w:rsid w:val="009C36C4"/>
    <w:rsid w:val="009C63D0"/>
    <w:rsid w:val="009D4036"/>
    <w:rsid w:val="009D7400"/>
    <w:rsid w:val="009E3359"/>
    <w:rsid w:val="009F15EB"/>
    <w:rsid w:val="009F1F0A"/>
    <w:rsid w:val="009F220D"/>
    <w:rsid w:val="009F50BA"/>
    <w:rsid w:val="009F703C"/>
    <w:rsid w:val="00A00DBA"/>
    <w:rsid w:val="00A04597"/>
    <w:rsid w:val="00A04839"/>
    <w:rsid w:val="00A04E2A"/>
    <w:rsid w:val="00A118CC"/>
    <w:rsid w:val="00A11DD6"/>
    <w:rsid w:val="00A1286D"/>
    <w:rsid w:val="00A130D5"/>
    <w:rsid w:val="00A14527"/>
    <w:rsid w:val="00A14CB2"/>
    <w:rsid w:val="00A15492"/>
    <w:rsid w:val="00A16642"/>
    <w:rsid w:val="00A17546"/>
    <w:rsid w:val="00A2398B"/>
    <w:rsid w:val="00A266C7"/>
    <w:rsid w:val="00A30F95"/>
    <w:rsid w:val="00A31AA3"/>
    <w:rsid w:val="00A3268F"/>
    <w:rsid w:val="00A329D2"/>
    <w:rsid w:val="00A32C5D"/>
    <w:rsid w:val="00A36501"/>
    <w:rsid w:val="00A36BD9"/>
    <w:rsid w:val="00A36DB1"/>
    <w:rsid w:val="00A508B4"/>
    <w:rsid w:val="00A67115"/>
    <w:rsid w:val="00A673E0"/>
    <w:rsid w:val="00A72122"/>
    <w:rsid w:val="00A80165"/>
    <w:rsid w:val="00A85ADB"/>
    <w:rsid w:val="00A93A5A"/>
    <w:rsid w:val="00A94429"/>
    <w:rsid w:val="00A95E17"/>
    <w:rsid w:val="00AA2D27"/>
    <w:rsid w:val="00AA77E4"/>
    <w:rsid w:val="00AB0A72"/>
    <w:rsid w:val="00AB158D"/>
    <w:rsid w:val="00AC2604"/>
    <w:rsid w:val="00AC29D7"/>
    <w:rsid w:val="00AC463A"/>
    <w:rsid w:val="00AC5CD6"/>
    <w:rsid w:val="00AC75A0"/>
    <w:rsid w:val="00AC7BD5"/>
    <w:rsid w:val="00AD1D7B"/>
    <w:rsid w:val="00AD3409"/>
    <w:rsid w:val="00AD359A"/>
    <w:rsid w:val="00AE1099"/>
    <w:rsid w:val="00AE3226"/>
    <w:rsid w:val="00AE35F6"/>
    <w:rsid w:val="00AF3D09"/>
    <w:rsid w:val="00B0186F"/>
    <w:rsid w:val="00B02EB3"/>
    <w:rsid w:val="00B05826"/>
    <w:rsid w:val="00B1150B"/>
    <w:rsid w:val="00B134EE"/>
    <w:rsid w:val="00B1674D"/>
    <w:rsid w:val="00B2098C"/>
    <w:rsid w:val="00B226EE"/>
    <w:rsid w:val="00B274C2"/>
    <w:rsid w:val="00B30A9A"/>
    <w:rsid w:val="00B31657"/>
    <w:rsid w:val="00B33B73"/>
    <w:rsid w:val="00B4208F"/>
    <w:rsid w:val="00B42BB8"/>
    <w:rsid w:val="00B4605C"/>
    <w:rsid w:val="00B52119"/>
    <w:rsid w:val="00B641CC"/>
    <w:rsid w:val="00B701A2"/>
    <w:rsid w:val="00B72CB1"/>
    <w:rsid w:val="00B81325"/>
    <w:rsid w:val="00B8148B"/>
    <w:rsid w:val="00B82C7D"/>
    <w:rsid w:val="00B91862"/>
    <w:rsid w:val="00BA35B6"/>
    <w:rsid w:val="00BA5A6A"/>
    <w:rsid w:val="00BA64DB"/>
    <w:rsid w:val="00BA7127"/>
    <w:rsid w:val="00BA729F"/>
    <w:rsid w:val="00BA72FC"/>
    <w:rsid w:val="00BB01F5"/>
    <w:rsid w:val="00BB1724"/>
    <w:rsid w:val="00BC35CB"/>
    <w:rsid w:val="00BC35D7"/>
    <w:rsid w:val="00BC47FB"/>
    <w:rsid w:val="00BD23A8"/>
    <w:rsid w:val="00BD4681"/>
    <w:rsid w:val="00BD5EAA"/>
    <w:rsid w:val="00BD6668"/>
    <w:rsid w:val="00BD76EA"/>
    <w:rsid w:val="00BE1237"/>
    <w:rsid w:val="00BE2D60"/>
    <w:rsid w:val="00BE3245"/>
    <w:rsid w:val="00BE571F"/>
    <w:rsid w:val="00BE6BC8"/>
    <w:rsid w:val="00BF1D23"/>
    <w:rsid w:val="00BF27A4"/>
    <w:rsid w:val="00C079F6"/>
    <w:rsid w:val="00C07D5E"/>
    <w:rsid w:val="00C10B8B"/>
    <w:rsid w:val="00C1144A"/>
    <w:rsid w:val="00C12AD7"/>
    <w:rsid w:val="00C134DC"/>
    <w:rsid w:val="00C215DB"/>
    <w:rsid w:val="00C21934"/>
    <w:rsid w:val="00C22002"/>
    <w:rsid w:val="00C22E00"/>
    <w:rsid w:val="00C25143"/>
    <w:rsid w:val="00C25AD4"/>
    <w:rsid w:val="00C302DD"/>
    <w:rsid w:val="00C310E6"/>
    <w:rsid w:val="00C32E1E"/>
    <w:rsid w:val="00C40586"/>
    <w:rsid w:val="00C43667"/>
    <w:rsid w:val="00C4491F"/>
    <w:rsid w:val="00C53BA4"/>
    <w:rsid w:val="00C6120A"/>
    <w:rsid w:val="00C634B9"/>
    <w:rsid w:val="00C65607"/>
    <w:rsid w:val="00C669E8"/>
    <w:rsid w:val="00C7092D"/>
    <w:rsid w:val="00C71100"/>
    <w:rsid w:val="00C72427"/>
    <w:rsid w:val="00C74052"/>
    <w:rsid w:val="00C76737"/>
    <w:rsid w:val="00C833A1"/>
    <w:rsid w:val="00C8552B"/>
    <w:rsid w:val="00C9323E"/>
    <w:rsid w:val="00C97B63"/>
    <w:rsid w:val="00CA2A86"/>
    <w:rsid w:val="00CA711E"/>
    <w:rsid w:val="00CB2C07"/>
    <w:rsid w:val="00CB3671"/>
    <w:rsid w:val="00CC0D5F"/>
    <w:rsid w:val="00CC1BA1"/>
    <w:rsid w:val="00CC242D"/>
    <w:rsid w:val="00CC47BF"/>
    <w:rsid w:val="00CC4868"/>
    <w:rsid w:val="00CD31BB"/>
    <w:rsid w:val="00CD3B05"/>
    <w:rsid w:val="00CD5380"/>
    <w:rsid w:val="00CD6123"/>
    <w:rsid w:val="00CE7548"/>
    <w:rsid w:val="00CF0FA4"/>
    <w:rsid w:val="00CF1305"/>
    <w:rsid w:val="00CF2ECE"/>
    <w:rsid w:val="00CF47A4"/>
    <w:rsid w:val="00D004F5"/>
    <w:rsid w:val="00D0509F"/>
    <w:rsid w:val="00D0642F"/>
    <w:rsid w:val="00D2047A"/>
    <w:rsid w:val="00D216FE"/>
    <w:rsid w:val="00D21AE3"/>
    <w:rsid w:val="00D222E3"/>
    <w:rsid w:val="00D31430"/>
    <w:rsid w:val="00D325EC"/>
    <w:rsid w:val="00D34F5E"/>
    <w:rsid w:val="00D35A64"/>
    <w:rsid w:val="00D41A63"/>
    <w:rsid w:val="00D44B0D"/>
    <w:rsid w:val="00D467C8"/>
    <w:rsid w:val="00D507A3"/>
    <w:rsid w:val="00D5610D"/>
    <w:rsid w:val="00D60872"/>
    <w:rsid w:val="00D648E0"/>
    <w:rsid w:val="00D701BA"/>
    <w:rsid w:val="00D711E2"/>
    <w:rsid w:val="00D861C8"/>
    <w:rsid w:val="00D866CF"/>
    <w:rsid w:val="00DA0A4D"/>
    <w:rsid w:val="00DA33EF"/>
    <w:rsid w:val="00DA61B6"/>
    <w:rsid w:val="00DA7743"/>
    <w:rsid w:val="00DB0C22"/>
    <w:rsid w:val="00DB448B"/>
    <w:rsid w:val="00DB6FE8"/>
    <w:rsid w:val="00DC006E"/>
    <w:rsid w:val="00DC2A0A"/>
    <w:rsid w:val="00DC34D0"/>
    <w:rsid w:val="00DC389C"/>
    <w:rsid w:val="00DC3A47"/>
    <w:rsid w:val="00DC4862"/>
    <w:rsid w:val="00DD4CE8"/>
    <w:rsid w:val="00DD6397"/>
    <w:rsid w:val="00DD69DB"/>
    <w:rsid w:val="00DD7182"/>
    <w:rsid w:val="00DE2FAC"/>
    <w:rsid w:val="00DE5953"/>
    <w:rsid w:val="00E015A6"/>
    <w:rsid w:val="00E02A62"/>
    <w:rsid w:val="00E070E0"/>
    <w:rsid w:val="00E13913"/>
    <w:rsid w:val="00E13F27"/>
    <w:rsid w:val="00E14D28"/>
    <w:rsid w:val="00E16948"/>
    <w:rsid w:val="00E20101"/>
    <w:rsid w:val="00E21270"/>
    <w:rsid w:val="00E3053A"/>
    <w:rsid w:val="00E3159E"/>
    <w:rsid w:val="00E3169A"/>
    <w:rsid w:val="00E342C9"/>
    <w:rsid w:val="00E36823"/>
    <w:rsid w:val="00E42A91"/>
    <w:rsid w:val="00E43900"/>
    <w:rsid w:val="00E504E9"/>
    <w:rsid w:val="00E5186C"/>
    <w:rsid w:val="00E52302"/>
    <w:rsid w:val="00E53B31"/>
    <w:rsid w:val="00E54329"/>
    <w:rsid w:val="00E54A6E"/>
    <w:rsid w:val="00E70334"/>
    <w:rsid w:val="00E70DE1"/>
    <w:rsid w:val="00E74E7F"/>
    <w:rsid w:val="00E76A36"/>
    <w:rsid w:val="00E813CC"/>
    <w:rsid w:val="00E837E4"/>
    <w:rsid w:val="00E97297"/>
    <w:rsid w:val="00EA49B0"/>
    <w:rsid w:val="00EA59A6"/>
    <w:rsid w:val="00EB005D"/>
    <w:rsid w:val="00EB266B"/>
    <w:rsid w:val="00EB2994"/>
    <w:rsid w:val="00EC2A95"/>
    <w:rsid w:val="00EC65D1"/>
    <w:rsid w:val="00ED2829"/>
    <w:rsid w:val="00ED743C"/>
    <w:rsid w:val="00EE024E"/>
    <w:rsid w:val="00EE14F9"/>
    <w:rsid w:val="00EE3550"/>
    <w:rsid w:val="00EE41D4"/>
    <w:rsid w:val="00EE49BA"/>
    <w:rsid w:val="00EE4CAE"/>
    <w:rsid w:val="00EE59EF"/>
    <w:rsid w:val="00EE6DDB"/>
    <w:rsid w:val="00EF094E"/>
    <w:rsid w:val="00F00132"/>
    <w:rsid w:val="00F030BE"/>
    <w:rsid w:val="00F0361A"/>
    <w:rsid w:val="00F142A8"/>
    <w:rsid w:val="00F1594C"/>
    <w:rsid w:val="00F21DD6"/>
    <w:rsid w:val="00F2757E"/>
    <w:rsid w:val="00F37DA1"/>
    <w:rsid w:val="00F42A05"/>
    <w:rsid w:val="00F4457E"/>
    <w:rsid w:val="00F46448"/>
    <w:rsid w:val="00F46D52"/>
    <w:rsid w:val="00F47EB1"/>
    <w:rsid w:val="00F507B5"/>
    <w:rsid w:val="00F53FD4"/>
    <w:rsid w:val="00F54668"/>
    <w:rsid w:val="00F6138C"/>
    <w:rsid w:val="00F628A8"/>
    <w:rsid w:val="00F70AFB"/>
    <w:rsid w:val="00F7297E"/>
    <w:rsid w:val="00F74F29"/>
    <w:rsid w:val="00F74FE7"/>
    <w:rsid w:val="00F77CF1"/>
    <w:rsid w:val="00F82360"/>
    <w:rsid w:val="00F83D13"/>
    <w:rsid w:val="00F855B1"/>
    <w:rsid w:val="00F87227"/>
    <w:rsid w:val="00F907E0"/>
    <w:rsid w:val="00F95AA6"/>
    <w:rsid w:val="00FB36BE"/>
    <w:rsid w:val="00FB6462"/>
    <w:rsid w:val="00FC50B8"/>
    <w:rsid w:val="00FC50E6"/>
    <w:rsid w:val="00FC5231"/>
    <w:rsid w:val="00FC5CD7"/>
    <w:rsid w:val="00FD115C"/>
    <w:rsid w:val="00FD3509"/>
    <w:rsid w:val="00FD5D37"/>
    <w:rsid w:val="00FE2C3A"/>
    <w:rsid w:val="00FE3F14"/>
    <w:rsid w:val="00FE5B71"/>
    <w:rsid w:val="00FF04BE"/>
    <w:rsid w:val="00FF3CFD"/>
    <w:rsid w:val="00FF3D15"/>
    <w:rsid w:val="00FF505A"/>
    <w:rsid w:val="00FF64E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95A80CE8-9B1E-48D1-A705-B20138E8C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1"/>
        <w:szCs w:val="22"/>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unhideWhenUsed="1"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C31"/>
  </w:style>
  <w:style w:type="paragraph" w:styleId="Balk1">
    <w:name w:val="heading 1"/>
    <w:basedOn w:val="Makalebal"/>
    <w:next w:val="Normal"/>
    <w:qFormat/>
    <w:rsid w:val="009259ED"/>
    <w:pPr>
      <w:keepNext/>
      <w:suppressAutoHyphens/>
      <w:spacing w:after="0"/>
      <w:ind w:left="284"/>
      <w:outlineLvl w:val="0"/>
    </w:pPr>
    <w:rPr>
      <w:b/>
      <w:bCs/>
      <w:spacing w:val="2"/>
      <w:sz w:val="22"/>
      <w:szCs w:val="24"/>
    </w:rPr>
  </w:style>
  <w:style w:type="paragraph" w:styleId="Balk2">
    <w:name w:val="heading 2"/>
    <w:basedOn w:val="Normal"/>
    <w:next w:val="Normal"/>
    <w:qFormat/>
    <w:rsid w:val="009259ED"/>
    <w:pPr>
      <w:keepNext/>
      <w:suppressAutoHyphens/>
      <w:spacing w:before="240"/>
      <w:ind w:left="284"/>
      <w:outlineLvl w:val="1"/>
    </w:pPr>
    <w:rPr>
      <w:b/>
      <w:bCs/>
      <w:spacing w:val="6"/>
      <w:sz w:val="22"/>
    </w:rPr>
  </w:style>
  <w:style w:type="paragraph" w:styleId="Balk3">
    <w:name w:val="heading 3"/>
    <w:basedOn w:val="Normal"/>
    <w:next w:val="Normal"/>
    <w:qFormat/>
    <w:rsid w:val="001679DF"/>
    <w:pPr>
      <w:keepNext/>
      <w:suppressAutoHyphens/>
      <w:spacing w:before="240"/>
      <w:ind w:left="284"/>
      <w:outlineLvl w:val="2"/>
    </w:pPr>
    <w:rPr>
      <w:b/>
      <w:spacing w:val="6"/>
      <w:sz w:val="22"/>
    </w:rPr>
  </w:style>
  <w:style w:type="paragraph" w:styleId="Balk4">
    <w:name w:val="heading 4"/>
    <w:basedOn w:val="Normal"/>
    <w:next w:val="Normal"/>
    <w:qFormat/>
    <w:rsid w:val="001679DF"/>
    <w:pPr>
      <w:keepNext/>
      <w:suppressAutoHyphens/>
      <w:spacing w:before="240"/>
      <w:ind w:left="284"/>
      <w:outlineLvl w:val="3"/>
    </w:pPr>
    <w:rPr>
      <w:b/>
      <w:bCs/>
      <w:spacing w:val="6"/>
      <w:sz w:val="22"/>
    </w:rPr>
  </w:style>
  <w:style w:type="paragraph" w:styleId="Balk5">
    <w:name w:val="heading 5"/>
    <w:basedOn w:val="Normal"/>
    <w:next w:val="Normal"/>
    <w:qFormat/>
    <w:rsid w:val="001679DF"/>
    <w:pPr>
      <w:keepNext/>
      <w:suppressAutoHyphens/>
      <w:spacing w:before="240"/>
      <w:ind w:left="284"/>
      <w:outlineLvl w:val="4"/>
    </w:pPr>
    <w:rPr>
      <w:b/>
      <w:bCs/>
      <w:spacing w:val="6"/>
      <w:sz w:val="22"/>
    </w:rPr>
  </w:style>
  <w:style w:type="paragraph" w:styleId="Balk6">
    <w:name w:val="heading 6"/>
    <w:basedOn w:val="Normal"/>
    <w:next w:val="Normal"/>
    <w:semiHidden/>
    <w:rsid w:val="00425881"/>
    <w:pPr>
      <w:spacing w:before="240" w:after="60"/>
      <w:outlineLvl w:val="5"/>
    </w:pPr>
    <w:rPr>
      <w:bCs/>
      <w:sz w:val="22"/>
    </w:rPr>
  </w:style>
  <w:style w:type="paragraph" w:styleId="Balk7">
    <w:name w:val="heading 7"/>
    <w:basedOn w:val="Normal"/>
    <w:next w:val="Normal"/>
    <w:semiHidden/>
    <w:rsid w:val="00425881"/>
    <w:pPr>
      <w:keepNext/>
      <w:outlineLvl w:val="6"/>
    </w:pPr>
    <w:rPr>
      <w:iCs/>
      <w:szCs w:val="20"/>
    </w:rPr>
  </w:style>
  <w:style w:type="paragraph" w:styleId="Balk8">
    <w:name w:val="heading 8"/>
    <w:basedOn w:val="Normal"/>
    <w:next w:val="Normal"/>
    <w:semiHidden/>
    <w:rsid w:val="00425881"/>
    <w:pPr>
      <w:keepNext/>
      <w:outlineLvl w:val="7"/>
    </w:pPr>
    <w:rPr>
      <w:szCs w:val="36"/>
    </w:rPr>
  </w:style>
  <w:style w:type="paragraph" w:styleId="Balk9">
    <w:name w:val="heading 9"/>
    <w:basedOn w:val="Normal"/>
    <w:next w:val="Normal"/>
    <w:semiHidden/>
    <w:rsid w:val="00425881"/>
    <w:pPr>
      <w:keepNext/>
      <w:spacing w:before="40" w:after="40"/>
      <w:outlineLvl w:val="8"/>
    </w:pPr>
    <w:rPr>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akalebal">
    <w:name w:val="Makale başlığı"/>
    <w:basedOn w:val="Normal"/>
    <w:qFormat/>
    <w:rsid w:val="00DC3A47"/>
    <w:pPr>
      <w:spacing w:before="240" w:after="240"/>
    </w:pPr>
    <w:rPr>
      <w:spacing w:val="6"/>
      <w:sz w:val="32"/>
      <w:szCs w:val="32"/>
    </w:rPr>
  </w:style>
  <w:style w:type="paragraph" w:styleId="stbilgi">
    <w:name w:val="header"/>
    <w:basedOn w:val="Normal"/>
    <w:rsid w:val="00E70DE1"/>
    <w:pPr>
      <w:tabs>
        <w:tab w:val="right" w:pos="6804"/>
      </w:tabs>
      <w:spacing w:line="180" w:lineRule="exact"/>
    </w:pPr>
    <w:rPr>
      <w:sz w:val="19"/>
      <w:szCs w:val="20"/>
    </w:rPr>
  </w:style>
  <w:style w:type="paragraph" w:styleId="T1">
    <w:name w:val="toc 1"/>
    <w:basedOn w:val="Normal"/>
    <w:next w:val="Normal"/>
    <w:autoRedefine/>
    <w:semiHidden/>
    <w:rsid w:val="00425881"/>
    <w:pPr>
      <w:tabs>
        <w:tab w:val="right" w:leader="dot" w:pos="6804"/>
      </w:tabs>
      <w:spacing w:after="120"/>
    </w:pPr>
    <w:rPr>
      <w:szCs w:val="20"/>
    </w:rPr>
  </w:style>
  <w:style w:type="paragraph" w:styleId="GvdeMetni2">
    <w:name w:val="Body Text 2"/>
    <w:basedOn w:val="Normal"/>
    <w:semiHidden/>
    <w:rsid w:val="00425881"/>
    <w:pPr>
      <w:jc w:val="center"/>
    </w:pPr>
    <w:rPr>
      <w:rFonts w:ascii="OrigGarmnd BT" w:hAnsi="OrigGarmnd BT"/>
      <w:spacing w:val="60"/>
      <w:sz w:val="72"/>
      <w:szCs w:val="72"/>
    </w:rPr>
  </w:style>
  <w:style w:type="paragraph" w:styleId="KonuBal">
    <w:name w:val="Title"/>
    <w:basedOn w:val="Normal"/>
    <w:semiHidden/>
    <w:rsid w:val="00425881"/>
    <w:pPr>
      <w:suppressAutoHyphens/>
      <w:spacing w:after="240"/>
      <w:outlineLvl w:val="0"/>
    </w:pPr>
    <w:rPr>
      <w:b/>
      <w:bCs/>
      <w:i/>
      <w:sz w:val="40"/>
      <w:szCs w:val="32"/>
    </w:rPr>
  </w:style>
  <w:style w:type="paragraph" w:styleId="bekMetni">
    <w:name w:val="Block Text"/>
    <w:basedOn w:val="Normal"/>
    <w:semiHidden/>
    <w:rsid w:val="00425881"/>
    <w:pPr>
      <w:tabs>
        <w:tab w:val="left" w:pos="1365"/>
        <w:tab w:val="center" w:pos="3540"/>
      </w:tabs>
      <w:ind w:left="1134" w:right="1134"/>
      <w:jc w:val="center"/>
    </w:pPr>
    <w:rPr>
      <w:szCs w:val="20"/>
    </w:rPr>
  </w:style>
  <w:style w:type="paragraph" w:styleId="Altbilgi">
    <w:name w:val="footer"/>
    <w:basedOn w:val="Normal"/>
    <w:rsid w:val="00425881"/>
    <w:pPr>
      <w:tabs>
        <w:tab w:val="center" w:pos="4536"/>
        <w:tab w:val="right" w:pos="9072"/>
      </w:tabs>
    </w:pPr>
  </w:style>
  <w:style w:type="paragraph" w:styleId="GvdeMetniGirintisi">
    <w:name w:val="Body Text Indent"/>
    <w:basedOn w:val="Normal"/>
    <w:semiHidden/>
    <w:rsid w:val="00425881"/>
    <w:pPr>
      <w:widowControl w:val="0"/>
      <w:spacing w:before="40" w:after="20"/>
      <w:ind w:firstLine="284"/>
      <w:jc w:val="both"/>
    </w:pPr>
    <w:rPr>
      <w:rFonts w:ascii="Times" w:hAnsi="Times"/>
    </w:rPr>
  </w:style>
  <w:style w:type="character" w:styleId="DipnotBavurusu">
    <w:name w:val="footnote reference"/>
    <w:basedOn w:val="VarsaylanParagrafYazTipi"/>
    <w:rsid w:val="00761115"/>
    <w:rPr>
      <w:position w:val="0"/>
      <w:szCs w:val="16"/>
      <w:vertAlign w:val="superscript"/>
    </w:rPr>
  </w:style>
  <w:style w:type="paragraph" w:styleId="DipnotMetni">
    <w:name w:val="footnote text"/>
    <w:basedOn w:val="Normal"/>
    <w:link w:val="DipnotMetniChar"/>
    <w:qFormat/>
    <w:rsid w:val="00490BD7"/>
    <w:pPr>
      <w:spacing w:line="260" w:lineRule="exact"/>
      <w:ind w:left="284" w:hanging="284"/>
      <w:jc w:val="both"/>
    </w:pPr>
    <w:rPr>
      <w:sz w:val="18"/>
      <w:szCs w:val="18"/>
    </w:rPr>
  </w:style>
  <w:style w:type="paragraph" w:styleId="GvdeMetniGirintisi2">
    <w:name w:val="Body Text Indent 2"/>
    <w:basedOn w:val="Normal"/>
    <w:semiHidden/>
    <w:rsid w:val="00425881"/>
    <w:pPr>
      <w:spacing w:after="120" w:line="480" w:lineRule="auto"/>
      <w:ind w:left="283"/>
    </w:pPr>
    <w:rPr>
      <w:rFonts w:ascii="Times" w:hAnsi="Times"/>
    </w:rPr>
  </w:style>
  <w:style w:type="character" w:styleId="SayfaNumaras">
    <w:name w:val="page number"/>
    <w:basedOn w:val="VarsaylanParagrafYazTipi"/>
    <w:rsid w:val="00425881"/>
  </w:style>
  <w:style w:type="paragraph" w:styleId="GvdeMetniGirintisi3">
    <w:name w:val="Body Text Indent 3"/>
    <w:basedOn w:val="Normal"/>
    <w:semiHidden/>
    <w:rsid w:val="00425881"/>
    <w:pPr>
      <w:spacing w:before="40" w:after="60" w:line="288" w:lineRule="auto"/>
      <w:ind w:firstLine="567"/>
      <w:jc w:val="both"/>
    </w:pPr>
    <w:rPr>
      <w:rFonts w:ascii="Verdana" w:hAnsi="Verdana"/>
      <w:position w:val="6"/>
      <w:szCs w:val="16"/>
    </w:rPr>
  </w:style>
  <w:style w:type="paragraph" w:customStyle="1" w:styleId="Abstracttext">
    <w:name w:val="Abstract text"/>
    <w:basedOn w:val="Normal"/>
    <w:qFormat/>
    <w:rsid w:val="00DC3A47"/>
    <w:pPr>
      <w:autoSpaceDE w:val="0"/>
      <w:autoSpaceDN w:val="0"/>
      <w:spacing w:after="60"/>
      <w:ind w:left="284"/>
      <w:jc w:val="both"/>
    </w:pPr>
    <w:rPr>
      <w:rFonts w:cs="Traditional Arabic"/>
      <w:spacing w:val="4"/>
      <w:sz w:val="18"/>
      <w:szCs w:val="20"/>
      <w:lang w:val="en-US"/>
    </w:rPr>
  </w:style>
  <w:style w:type="paragraph" w:customStyle="1" w:styleId="Abstracttitle">
    <w:name w:val="Abstract title"/>
    <w:basedOn w:val="Abstracttext"/>
    <w:qFormat/>
    <w:rsid w:val="00975803"/>
    <w:pPr>
      <w:adjustRightInd w:val="0"/>
      <w:snapToGrid w:val="0"/>
      <w:spacing w:before="240"/>
      <w:ind w:right="284"/>
      <w:jc w:val="left"/>
    </w:pPr>
    <w:rPr>
      <w:b/>
      <w:bCs/>
    </w:rPr>
  </w:style>
  <w:style w:type="paragraph" w:styleId="GvdeMetni">
    <w:name w:val="Body Text"/>
    <w:basedOn w:val="Normal"/>
    <w:link w:val="GvdeMetniChar"/>
    <w:rsid w:val="00DC3A47"/>
    <w:pPr>
      <w:spacing w:after="120" w:line="300" w:lineRule="exact"/>
      <w:ind w:firstLine="284"/>
      <w:jc w:val="both"/>
    </w:pPr>
    <w:rPr>
      <w:spacing w:val="2"/>
    </w:rPr>
  </w:style>
  <w:style w:type="character" w:customStyle="1" w:styleId="GvdeMetniChar">
    <w:name w:val="Gövde Metni Char"/>
    <w:basedOn w:val="VarsaylanParagrafYazTipi"/>
    <w:link w:val="GvdeMetni"/>
    <w:rsid w:val="00DC3A47"/>
    <w:rPr>
      <w:rFonts w:ascii="Minion Pro" w:hAnsi="Minion Pro" w:cs="Traditional Naskh"/>
      <w:spacing w:val="2"/>
      <w:sz w:val="21"/>
      <w:szCs w:val="22"/>
    </w:rPr>
  </w:style>
  <w:style w:type="character" w:customStyle="1" w:styleId="Usul-Bold">
    <w:name w:val="Usul-Bold"/>
    <w:basedOn w:val="VarsaylanParagrafYazTipi"/>
    <w:semiHidden/>
    <w:rsid w:val="00FB36BE"/>
    <w:rPr>
      <w:b/>
    </w:rPr>
  </w:style>
  <w:style w:type="character" w:customStyle="1" w:styleId="Usul-BoldItalic">
    <w:name w:val="Usul-BoldItalic"/>
    <w:basedOn w:val="VarsaylanParagrafYazTipi"/>
    <w:semiHidden/>
    <w:rsid w:val="00FB36BE"/>
    <w:rPr>
      <w:b/>
      <w:i/>
    </w:rPr>
  </w:style>
  <w:style w:type="character" w:customStyle="1" w:styleId="Usul-Italic">
    <w:name w:val="Usul-Italic"/>
    <w:basedOn w:val="VarsaylanParagrafYazTipi"/>
    <w:semiHidden/>
    <w:rsid w:val="00FB36BE"/>
    <w:rPr>
      <w:i/>
    </w:rPr>
  </w:style>
  <w:style w:type="paragraph" w:customStyle="1" w:styleId="BodyText21">
    <w:name w:val="Body Text 21"/>
    <w:basedOn w:val="Normal"/>
    <w:semiHidden/>
    <w:rsid w:val="00425881"/>
    <w:pPr>
      <w:overflowPunct w:val="0"/>
      <w:autoSpaceDE w:val="0"/>
      <w:autoSpaceDN w:val="0"/>
      <w:adjustRightInd w:val="0"/>
      <w:jc w:val="center"/>
      <w:textAlignment w:val="baseline"/>
    </w:pPr>
    <w:rPr>
      <w:rFonts w:ascii="OrigGarmnd BT" w:hAnsi="OrigGarmnd BT"/>
      <w:spacing w:val="60"/>
      <w:sz w:val="72"/>
      <w:szCs w:val="72"/>
    </w:rPr>
  </w:style>
  <w:style w:type="paragraph" w:customStyle="1" w:styleId="BlockText1">
    <w:name w:val="Block Text1"/>
    <w:basedOn w:val="Normal"/>
    <w:semiHidden/>
    <w:rsid w:val="00425881"/>
    <w:pPr>
      <w:tabs>
        <w:tab w:val="left" w:pos="1365"/>
        <w:tab w:val="center" w:pos="3540"/>
      </w:tabs>
      <w:overflowPunct w:val="0"/>
      <w:autoSpaceDE w:val="0"/>
      <w:autoSpaceDN w:val="0"/>
      <w:adjustRightInd w:val="0"/>
      <w:ind w:left="1134" w:right="1134"/>
      <w:jc w:val="center"/>
      <w:textAlignment w:val="baseline"/>
    </w:pPr>
    <w:rPr>
      <w:rFonts w:ascii="OrigGarmnd BT" w:hAnsi="OrigGarmnd BT"/>
      <w:szCs w:val="20"/>
    </w:rPr>
  </w:style>
  <w:style w:type="paragraph" w:customStyle="1" w:styleId="BodyTextIndent21">
    <w:name w:val="Body Text Indent 21"/>
    <w:basedOn w:val="Normal"/>
    <w:semiHidden/>
    <w:rsid w:val="00425881"/>
    <w:pPr>
      <w:overflowPunct w:val="0"/>
      <w:autoSpaceDE w:val="0"/>
      <w:autoSpaceDN w:val="0"/>
      <w:adjustRightInd w:val="0"/>
      <w:spacing w:after="120" w:line="480" w:lineRule="auto"/>
      <w:ind w:left="283"/>
      <w:textAlignment w:val="baseline"/>
    </w:pPr>
    <w:rPr>
      <w:rFonts w:ascii="Times" w:hAnsi="Times"/>
    </w:rPr>
  </w:style>
  <w:style w:type="paragraph" w:customStyle="1" w:styleId="BodyTextIndent31">
    <w:name w:val="Body Text Indent 31"/>
    <w:basedOn w:val="Normal"/>
    <w:semiHidden/>
    <w:rsid w:val="00425881"/>
    <w:pPr>
      <w:overflowPunct w:val="0"/>
      <w:autoSpaceDE w:val="0"/>
      <w:autoSpaceDN w:val="0"/>
      <w:adjustRightInd w:val="0"/>
      <w:spacing w:before="40" w:after="60" w:line="288" w:lineRule="auto"/>
      <w:ind w:firstLine="567"/>
      <w:jc w:val="both"/>
      <w:textAlignment w:val="baseline"/>
    </w:pPr>
    <w:rPr>
      <w:rFonts w:ascii="Verdana" w:hAnsi="Verdana"/>
      <w:position w:val="6"/>
      <w:szCs w:val="20"/>
    </w:rPr>
  </w:style>
  <w:style w:type="character" w:styleId="Kpr">
    <w:name w:val="Hyperlink"/>
    <w:basedOn w:val="VarsaylanParagrafYazTipi"/>
    <w:semiHidden/>
    <w:rsid w:val="00425881"/>
    <w:rPr>
      <w:color w:val="0000FF"/>
      <w:u w:val="single"/>
    </w:rPr>
  </w:style>
  <w:style w:type="paragraph" w:styleId="BelgeBalantlar">
    <w:name w:val="Document Map"/>
    <w:basedOn w:val="Normal"/>
    <w:semiHidden/>
    <w:rsid w:val="00425881"/>
    <w:pPr>
      <w:shd w:val="clear" w:color="auto" w:fill="000080"/>
    </w:pPr>
    <w:rPr>
      <w:rFonts w:ascii="Tahoma" w:hAnsi="Tahoma" w:cs="Tahoma"/>
    </w:rPr>
  </w:style>
  <w:style w:type="paragraph" w:customStyle="1" w:styleId="Usul-BodyTextCont">
    <w:name w:val="Usul-BodyTextCont"/>
    <w:basedOn w:val="Normal"/>
    <w:next w:val="Abstracttext"/>
    <w:link w:val="Usul-BodyTextContCharChar"/>
    <w:semiHidden/>
    <w:rsid w:val="00425881"/>
    <w:pPr>
      <w:autoSpaceDE w:val="0"/>
      <w:autoSpaceDN w:val="0"/>
      <w:spacing w:after="80" w:line="260" w:lineRule="exact"/>
      <w:jc w:val="both"/>
    </w:pPr>
    <w:rPr>
      <w:rFonts w:cs="Traditional Arabic"/>
      <w:bCs/>
    </w:rPr>
  </w:style>
  <w:style w:type="character" w:customStyle="1" w:styleId="Usul-BodyTextContCharChar">
    <w:name w:val="Usul-BodyTextCont Char Char"/>
    <w:basedOn w:val="VarsaylanParagrafYazTipi"/>
    <w:link w:val="Usul-BodyTextCont"/>
    <w:semiHidden/>
    <w:rsid w:val="001C3C31"/>
    <w:rPr>
      <w:rFonts w:ascii="Minion Pro" w:hAnsi="Minion Pro" w:cs="Traditional Arabic"/>
      <w:bCs/>
      <w:sz w:val="21"/>
      <w:szCs w:val="22"/>
    </w:rPr>
  </w:style>
  <w:style w:type="character" w:customStyle="1" w:styleId="StilDipnotBavurusu12nk">
    <w:name w:val="Stil Dipnot Başvurusu + 12 nk"/>
    <w:basedOn w:val="DipnotBavurusu"/>
    <w:semiHidden/>
    <w:rsid w:val="00425881"/>
    <w:rPr>
      <w:rFonts w:cs="Traditional Arabic"/>
      <w:position w:val="0"/>
      <w:szCs w:val="24"/>
      <w:vertAlign w:val="superscript"/>
    </w:rPr>
  </w:style>
  <w:style w:type="character" w:customStyle="1" w:styleId="StilDipnotBavurusu12nkKarmaktalik">
    <w:name w:val="Stil Dipnot Başvurusu + 12 nk (Karmaşık) İtalik"/>
    <w:basedOn w:val="DipnotBavurusu"/>
    <w:semiHidden/>
    <w:rsid w:val="00425881"/>
    <w:rPr>
      <w:rFonts w:cs="Traditional Arabic"/>
      <w:iCs/>
      <w:position w:val="0"/>
      <w:szCs w:val="24"/>
      <w:vertAlign w:val="superscript"/>
    </w:rPr>
  </w:style>
  <w:style w:type="character" w:customStyle="1" w:styleId="StilDipnotBavurusutalik">
    <w:name w:val="Stil Dipnot Başvurusu + İtalik"/>
    <w:basedOn w:val="DipnotBavurusu"/>
    <w:semiHidden/>
    <w:rsid w:val="00425881"/>
    <w:rPr>
      <w:rFonts w:cs="Traditional Arabic"/>
      <w:position w:val="0"/>
      <w:sz w:val="18"/>
      <w:szCs w:val="22"/>
      <w:vertAlign w:val="superscript"/>
    </w:rPr>
  </w:style>
  <w:style w:type="paragraph" w:customStyle="1" w:styleId="StilkiYanaYaslaSatraralBirdenok14satr">
    <w:name w:val="Stil İki Yana Yasla Satır aralığı:  Birden çok 14 satır"/>
    <w:basedOn w:val="Normal"/>
    <w:semiHidden/>
    <w:rsid w:val="00425881"/>
    <w:pPr>
      <w:jc w:val="both"/>
    </w:pPr>
    <w:rPr>
      <w:rFonts w:ascii="Times New Roman" w:hAnsi="Times New Roman"/>
    </w:rPr>
  </w:style>
  <w:style w:type="paragraph" w:styleId="GvdeMetni3">
    <w:name w:val="Body Text 3"/>
    <w:basedOn w:val="Normal"/>
    <w:semiHidden/>
    <w:rsid w:val="00425881"/>
    <w:pPr>
      <w:spacing w:after="120"/>
    </w:pPr>
    <w:rPr>
      <w:rFonts w:ascii="Times New Roman" w:hAnsi="Times New Roman"/>
      <w:sz w:val="16"/>
      <w:szCs w:val="16"/>
    </w:rPr>
  </w:style>
  <w:style w:type="paragraph" w:styleId="Altyaz">
    <w:name w:val="Subtitle"/>
    <w:basedOn w:val="Normal"/>
    <w:semiHidden/>
    <w:rsid w:val="00425881"/>
    <w:pPr>
      <w:jc w:val="right"/>
    </w:pPr>
    <w:rPr>
      <w:rFonts w:ascii="Times New Roman" w:hAnsi="Times New Roman" w:cs="Traditional Arabic"/>
      <w:b/>
      <w:bCs/>
      <w:szCs w:val="28"/>
    </w:rPr>
  </w:style>
  <w:style w:type="paragraph" w:customStyle="1" w:styleId="Usul-SectionHead">
    <w:name w:val="Usul-SectionHead"/>
    <w:basedOn w:val="Normal"/>
    <w:semiHidden/>
    <w:rsid w:val="00425881"/>
    <w:pPr>
      <w:shd w:val="clear" w:color="auto" w:fill="E6E6E6"/>
      <w:spacing w:after="960"/>
    </w:pPr>
    <w:rPr>
      <w:b/>
      <w:bCs/>
    </w:rPr>
  </w:style>
  <w:style w:type="character" w:styleId="AklamaBavurusu">
    <w:name w:val="annotation reference"/>
    <w:basedOn w:val="VarsaylanParagrafYazTipi"/>
    <w:semiHidden/>
    <w:rsid w:val="00425881"/>
    <w:rPr>
      <w:sz w:val="16"/>
      <w:szCs w:val="16"/>
    </w:rPr>
  </w:style>
  <w:style w:type="paragraph" w:styleId="AklamaMetni">
    <w:name w:val="annotation text"/>
    <w:basedOn w:val="Normal"/>
    <w:semiHidden/>
    <w:rsid w:val="00425881"/>
    <w:rPr>
      <w:rFonts w:ascii="Times New Roman" w:hAnsi="Times New Roman"/>
      <w:szCs w:val="20"/>
    </w:rPr>
  </w:style>
  <w:style w:type="paragraph" w:styleId="BalonMetni">
    <w:name w:val="Balloon Text"/>
    <w:basedOn w:val="Normal"/>
    <w:semiHidden/>
    <w:rsid w:val="00425881"/>
    <w:rPr>
      <w:rFonts w:ascii="Tahoma" w:hAnsi="Tahoma" w:cs="Tahoma"/>
      <w:sz w:val="16"/>
      <w:szCs w:val="16"/>
    </w:rPr>
  </w:style>
  <w:style w:type="character" w:styleId="HTMLDaktilo">
    <w:name w:val="HTML Typewriter"/>
    <w:basedOn w:val="VarsaylanParagrafYazTipi"/>
    <w:semiHidden/>
    <w:rsid w:val="00425881"/>
    <w:rPr>
      <w:rFonts w:ascii="Courier New" w:eastAsia="Times New Roman" w:hAnsi="Courier New" w:cs="Courier New"/>
      <w:sz w:val="20"/>
      <w:szCs w:val="20"/>
    </w:rPr>
  </w:style>
  <w:style w:type="table" w:styleId="TabloKlavuzu">
    <w:name w:val="Table Grid"/>
    <w:basedOn w:val="NormalTablo"/>
    <w:semiHidden/>
    <w:rsid w:val="00425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ul-SectionHeadSp">
    <w:name w:val="Usul-SectionHeadSp"/>
    <w:basedOn w:val="Usul-SectionHead"/>
    <w:semiHidden/>
    <w:rsid w:val="00425881"/>
    <w:pPr>
      <w:shd w:val="clear" w:color="auto" w:fill="auto"/>
    </w:pPr>
  </w:style>
  <w:style w:type="character" w:styleId="Vurgu">
    <w:name w:val="Emphasis"/>
    <w:basedOn w:val="VarsaylanParagrafYazTipi"/>
    <w:semiHidden/>
    <w:rsid w:val="00425881"/>
    <w:rPr>
      <w:i/>
      <w:iCs/>
    </w:rPr>
  </w:style>
  <w:style w:type="paragraph" w:customStyle="1" w:styleId="Usul-BodyTextList">
    <w:name w:val="Usul-BodyTextList"/>
    <w:basedOn w:val="Normal"/>
    <w:semiHidden/>
    <w:rsid w:val="00425881"/>
    <w:pPr>
      <w:autoSpaceDE w:val="0"/>
      <w:autoSpaceDN w:val="0"/>
      <w:spacing w:line="260" w:lineRule="exact"/>
    </w:pPr>
    <w:rPr>
      <w:rFonts w:cs="Traditional Arabic"/>
      <w:bCs/>
      <w:szCs w:val="20"/>
    </w:rPr>
  </w:style>
  <w:style w:type="paragraph" w:customStyle="1" w:styleId="Usul-Content">
    <w:name w:val="Usul-Content"/>
    <w:basedOn w:val="Normal"/>
    <w:semiHidden/>
    <w:rsid w:val="000B6917"/>
    <w:pPr>
      <w:tabs>
        <w:tab w:val="right" w:leader="dot" w:pos="6804"/>
      </w:tabs>
      <w:spacing w:after="60"/>
      <w:jc w:val="center"/>
    </w:pPr>
    <w:rPr>
      <w:sz w:val="18"/>
      <w:szCs w:val="18"/>
    </w:rPr>
  </w:style>
  <w:style w:type="paragraph" w:customStyle="1" w:styleId="Usul-ContentHead">
    <w:name w:val="Usul-ContentHead"/>
    <w:basedOn w:val="Normal"/>
    <w:semiHidden/>
    <w:rsid w:val="00425881"/>
    <w:pPr>
      <w:spacing w:before="1120" w:after="480"/>
      <w:jc w:val="center"/>
    </w:pPr>
    <w:rPr>
      <w:b/>
      <w:sz w:val="22"/>
    </w:rPr>
  </w:style>
  <w:style w:type="paragraph" w:customStyle="1" w:styleId="Usul-ContentHeadName">
    <w:name w:val="Usul-ContentHeadName"/>
    <w:basedOn w:val="Usul-Content"/>
    <w:semiHidden/>
    <w:rsid w:val="00425881"/>
    <w:pPr>
      <w:keepNext/>
      <w:spacing w:before="120" w:line="200" w:lineRule="exact"/>
    </w:pPr>
    <w:rPr>
      <w:b/>
      <w:bCs/>
    </w:rPr>
  </w:style>
  <w:style w:type="paragraph" w:customStyle="1" w:styleId="Alntmetni">
    <w:name w:val="Alıntı metni"/>
    <w:basedOn w:val="Normal"/>
    <w:rsid w:val="009259ED"/>
    <w:pPr>
      <w:autoSpaceDE w:val="0"/>
      <w:autoSpaceDN w:val="0"/>
      <w:spacing w:before="60" w:after="120" w:line="260" w:lineRule="exact"/>
      <w:ind w:left="284"/>
      <w:jc w:val="both"/>
    </w:pPr>
    <w:rPr>
      <w:bCs/>
      <w:spacing w:val="2"/>
      <w:sz w:val="18"/>
    </w:rPr>
  </w:style>
  <w:style w:type="paragraph" w:customStyle="1" w:styleId="Usul-CitationArabic">
    <w:name w:val="Usul-CitationArabic"/>
    <w:basedOn w:val="GvdeMetni"/>
    <w:semiHidden/>
    <w:rsid w:val="00425881"/>
    <w:pPr>
      <w:bidi/>
      <w:ind w:right="284" w:firstLine="0"/>
    </w:pPr>
    <w:rPr>
      <w:sz w:val="18"/>
      <w:lang w:bidi="ar-AE"/>
    </w:rPr>
  </w:style>
  <w:style w:type="paragraph" w:customStyle="1" w:styleId="Usul-Jeneric">
    <w:name w:val="Usul-Jeneric"/>
    <w:basedOn w:val="Normal"/>
    <w:semiHidden/>
    <w:rsid w:val="009A7DC2"/>
    <w:pPr>
      <w:jc w:val="center"/>
    </w:pPr>
    <w:rPr>
      <w:sz w:val="18"/>
      <w:szCs w:val="16"/>
    </w:rPr>
  </w:style>
  <w:style w:type="paragraph" w:customStyle="1" w:styleId="Usul-JenericHead">
    <w:name w:val="Usul-JenericHead"/>
    <w:basedOn w:val="Usul-Jeneric"/>
    <w:semiHidden/>
    <w:rsid w:val="00425881"/>
    <w:pPr>
      <w:spacing w:before="60"/>
    </w:pPr>
    <w:rPr>
      <w:b/>
      <w:bCs/>
    </w:rPr>
  </w:style>
  <w:style w:type="paragraph" w:customStyle="1" w:styleId="Kaynaka">
    <w:name w:val="Kaynakça"/>
    <w:basedOn w:val="Normal"/>
    <w:qFormat/>
    <w:rsid w:val="003E5271"/>
    <w:pPr>
      <w:autoSpaceDE w:val="0"/>
      <w:autoSpaceDN w:val="0"/>
      <w:spacing w:before="60" w:after="60"/>
      <w:ind w:left="397" w:hanging="397"/>
      <w:jc w:val="both"/>
    </w:pPr>
    <w:rPr>
      <w:rFonts w:cs="Traditional Arabic"/>
      <w:bCs/>
      <w:sz w:val="19"/>
    </w:rPr>
  </w:style>
  <w:style w:type="paragraph" w:customStyle="1" w:styleId="Usul-List1">
    <w:name w:val="Usul-List1"/>
    <w:basedOn w:val="GvdeMetni"/>
    <w:semiHidden/>
    <w:rsid w:val="00425881"/>
    <w:pPr>
      <w:numPr>
        <w:numId w:val="1"/>
      </w:numPr>
    </w:pPr>
  </w:style>
  <w:style w:type="paragraph" w:customStyle="1" w:styleId="iirmetni">
    <w:name w:val="Şiir metni"/>
    <w:basedOn w:val="Normal"/>
    <w:qFormat/>
    <w:rsid w:val="001C3C31"/>
    <w:pPr>
      <w:autoSpaceDE w:val="0"/>
      <w:autoSpaceDN w:val="0"/>
      <w:spacing w:before="120" w:after="120"/>
      <w:ind w:left="851"/>
      <w:contextualSpacing/>
    </w:pPr>
    <w:rPr>
      <w:rFonts w:cs="Traditional Arabic"/>
      <w:bCs/>
    </w:rPr>
  </w:style>
  <w:style w:type="paragraph" w:customStyle="1" w:styleId="Usul-Yaynlkeleri">
    <w:name w:val="Usul-Yayınİlkeleri"/>
    <w:basedOn w:val="GvdeMetni"/>
    <w:semiHidden/>
    <w:rsid w:val="00425881"/>
    <w:pPr>
      <w:bidi/>
      <w:spacing w:line="200" w:lineRule="exact"/>
    </w:pPr>
    <w:rPr>
      <w:sz w:val="16"/>
      <w:szCs w:val="16"/>
    </w:rPr>
  </w:style>
  <w:style w:type="paragraph" w:customStyle="1" w:styleId="Usul-YaynlkeleriBalk">
    <w:name w:val="Usul-YayınİlkeleriBaşlık"/>
    <w:basedOn w:val="Usul-Yaynlkeleri"/>
    <w:semiHidden/>
    <w:rsid w:val="00425881"/>
    <w:pPr>
      <w:keepNext/>
      <w:bidi w:val="0"/>
      <w:spacing w:before="60" w:after="0"/>
    </w:pPr>
    <w:rPr>
      <w:b/>
      <w:bCs/>
    </w:rPr>
  </w:style>
  <w:style w:type="paragraph" w:customStyle="1" w:styleId="Yazarad">
    <w:name w:val="Yazar adı"/>
    <w:basedOn w:val="Normal"/>
    <w:qFormat/>
    <w:rsid w:val="00483031"/>
    <w:pPr>
      <w:suppressAutoHyphens/>
      <w:autoSpaceDE w:val="0"/>
      <w:autoSpaceDN w:val="0"/>
      <w:spacing w:before="60" w:after="240"/>
    </w:pPr>
    <w:rPr>
      <w:rFonts w:cs="Traditional Arabic"/>
      <w:bCs/>
      <w:i/>
      <w:sz w:val="24"/>
      <w:szCs w:val="21"/>
    </w:rPr>
  </w:style>
  <w:style w:type="paragraph" w:customStyle="1" w:styleId="Usul-JenerikDergiAd">
    <w:name w:val="Usul-JenerikDergiAdı"/>
    <w:basedOn w:val="Usul-Jeneric"/>
    <w:semiHidden/>
    <w:rsid w:val="00FF3D15"/>
    <w:pPr>
      <w:spacing w:after="120"/>
    </w:pPr>
    <w:rPr>
      <w:sz w:val="24"/>
    </w:rPr>
  </w:style>
  <w:style w:type="paragraph" w:customStyle="1" w:styleId="Usul-Temsilciler-Adres">
    <w:name w:val="Usul-Temsilciler-Adres"/>
    <w:basedOn w:val="Normal"/>
    <w:semiHidden/>
    <w:rsid w:val="00F77CF1"/>
    <w:pPr>
      <w:suppressAutoHyphens/>
    </w:pPr>
    <w:rPr>
      <w:rFonts w:cs="Times New Roman"/>
      <w:sz w:val="16"/>
    </w:rPr>
  </w:style>
  <w:style w:type="paragraph" w:customStyle="1" w:styleId="Usul-Temsilciler-AdresBalk">
    <w:name w:val="Usul-Temsilciler-Adres Başlık"/>
    <w:basedOn w:val="Usul-Temsilciler-Adres"/>
    <w:semiHidden/>
    <w:rsid w:val="00BD23A8"/>
    <w:pPr>
      <w:keepNext/>
      <w:spacing w:before="120"/>
    </w:pPr>
    <w:rPr>
      <w:b/>
    </w:rPr>
  </w:style>
  <w:style w:type="paragraph" w:customStyle="1" w:styleId="Usul-ContentSectionHead">
    <w:name w:val="Usul-ContentSectionHead"/>
    <w:basedOn w:val="Usul-Content"/>
    <w:semiHidden/>
    <w:rsid w:val="00E76A36"/>
    <w:pPr>
      <w:keepNext/>
      <w:spacing w:before="240" w:line="200" w:lineRule="exact"/>
    </w:pPr>
    <w:rPr>
      <w:b/>
      <w:bCs/>
    </w:rPr>
  </w:style>
  <w:style w:type="paragraph" w:customStyle="1" w:styleId="Usul-Arapa">
    <w:name w:val="Usul-Arapça"/>
    <w:basedOn w:val="GvdeMetni"/>
    <w:semiHidden/>
    <w:rsid w:val="00934A73"/>
    <w:pPr>
      <w:bidi/>
      <w:ind w:right="284" w:firstLine="0"/>
    </w:pPr>
    <w:rPr>
      <w:lang w:bidi="ar-AE"/>
    </w:rPr>
  </w:style>
  <w:style w:type="paragraph" w:customStyle="1" w:styleId="zmetni">
    <w:name w:val="Öz metni"/>
    <w:basedOn w:val="Normal"/>
    <w:qFormat/>
    <w:rsid w:val="00DC3A47"/>
    <w:pPr>
      <w:spacing w:after="60"/>
      <w:ind w:left="284" w:right="284"/>
      <w:jc w:val="both"/>
    </w:pPr>
    <w:rPr>
      <w:spacing w:val="2"/>
      <w:sz w:val="18"/>
      <w:szCs w:val="20"/>
    </w:rPr>
  </w:style>
  <w:style w:type="paragraph" w:customStyle="1" w:styleId="Kaynakabal">
    <w:name w:val="Kaynakça başlığı"/>
    <w:basedOn w:val="Kaynaka"/>
    <w:qFormat/>
    <w:rsid w:val="003E5271"/>
    <w:pPr>
      <w:spacing w:before="600" w:after="120"/>
      <w:jc w:val="left"/>
      <w:outlineLvl w:val="0"/>
    </w:pPr>
    <w:rPr>
      <w:b/>
      <w:spacing w:val="6"/>
      <w:sz w:val="20"/>
    </w:rPr>
  </w:style>
  <w:style w:type="character" w:customStyle="1" w:styleId="DipnotMetniChar">
    <w:name w:val="Dipnot Metni Char"/>
    <w:basedOn w:val="VarsaylanParagrafYazTipi"/>
    <w:link w:val="DipnotMetni"/>
    <w:rsid w:val="00490BD7"/>
    <w:rPr>
      <w:rFonts w:ascii="Minion Pro" w:hAnsi="Minion Pro" w:cs="Traditional Naskh"/>
      <w:sz w:val="18"/>
      <w:szCs w:val="18"/>
    </w:rPr>
  </w:style>
  <w:style w:type="paragraph" w:styleId="NormalWeb">
    <w:name w:val="Normal (Web)"/>
    <w:basedOn w:val="Normal"/>
    <w:semiHidden/>
    <w:unhideWhenUsed/>
    <w:rsid w:val="00DB0C22"/>
    <w:rPr>
      <w:rFonts w:ascii="Times New Roman" w:hAnsi="Times New Roman" w:cs="Times New Roman"/>
      <w:sz w:val="24"/>
      <w:szCs w:val="24"/>
    </w:rPr>
  </w:style>
  <w:style w:type="paragraph" w:styleId="ListeParagraf">
    <w:name w:val="List Paragraph"/>
    <w:basedOn w:val="Normal"/>
    <w:uiPriority w:val="34"/>
    <w:semiHidden/>
    <w:rsid w:val="00DB0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man%20ACUN\A.%20TEZGAH\USUL\28.%20Say&#305;\Usul_v2017A%20&#350;ABLON.DOT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Usul Metin">
      <a:majorFont>
        <a:latin typeface="Minion Pro"/>
        <a:ea typeface=""/>
        <a:cs typeface="Traditional Naskh"/>
      </a:majorFont>
      <a:minorFont>
        <a:latin typeface="Minion Pro"/>
        <a:ea typeface=""/>
        <a:cs typeface="Traditional Naskh"/>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29FA4189-ED1E-4BDB-8FE6-F12893D0D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Usul_v2017A ŞABLON</Template>
  <TotalTime>22</TotalTime>
  <Pages>16</Pages>
  <Words>3884</Words>
  <Characters>22144</Characters>
  <Application>Microsoft Office Word</Application>
  <DocSecurity>0</DocSecurity>
  <Lines>184</Lines>
  <Paragraphs>51</Paragraphs>
  <ScaleCrop>false</ScaleCrop>
  <HeadingPairs>
    <vt:vector size="2" baseType="variant">
      <vt:variant>
        <vt:lpstr>Konu Başlığı</vt:lpstr>
      </vt:variant>
      <vt:variant>
        <vt:i4>1</vt:i4>
      </vt:variant>
    </vt:vector>
  </HeadingPairs>
  <TitlesOfParts>
    <vt:vector size="1" baseType="lpstr">
      <vt:lpstr>Makale Başlığı</vt:lpstr>
    </vt:vector>
  </TitlesOfParts>
  <Manager>Dr. Muhammet ABAY</Manager>
  <Company>MÜ İlahiyat Fakültesi</Company>
  <LinksUpToDate>false</LinksUpToDate>
  <CharactersWithSpaces>25977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Makale Başlığı</dc:title>
  <dc:subject>Usûl</dc:subject>
  <dc:creator>Osman ACUN</dc:creator>
  <cp:lastModifiedBy>Osman ACUN</cp:lastModifiedBy>
  <cp:revision>8</cp:revision>
  <cp:lastPrinted>2004-12-22T17:30:00Z</cp:lastPrinted>
  <dcterms:created xsi:type="dcterms:W3CDTF">2017-10-24T07:29:00Z</dcterms:created>
  <dcterms:modified xsi:type="dcterms:W3CDTF">2017-11-30T13:41:00Z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şlık">
    <vt:lpwstr>Makale Başlığı</vt:lpwstr>
  </property>
  <property fmtid="{D5CDD505-2E9C-101B-9397-08002B2CF9AE}" pid="3" name="Yazar">
    <vt:lpwstr>Makale Yazarı</vt:lpwstr>
  </property>
  <property fmtid="{D5CDD505-2E9C-101B-9397-08002B2CF9AE}" pid="4" name="Çeviren">
    <vt:lpwstr>Makale Çevireni</vt:lpwstr>
  </property>
  <property fmtid="{D5CDD505-2E9C-101B-9397-08002B2CF9AE}" pid="5" name="Sene">
    <vt:lpwstr>2005</vt:lpwstr>
  </property>
  <property fmtid="{D5CDD505-2E9C-101B-9397-08002B2CF9AE}" pid="6" name="Cilt">
    <vt:lpwstr>I</vt:lpwstr>
  </property>
  <property fmtid="{D5CDD505-2E9C-101B-9397-08002B2CF9AE}" pid="7" name="Sayı">
    <vt:lpwstr>1</vt:lpwstr>
  </property>
  <property fmtid="{D5CDD505-2E9C-101B-9397-08002B2CF9AE}" pid="8" name="ISSN">
    <vt:lpwstr>1305-2632</vt:lpwstr>
  </property>
  <property fmtid="{D5CDD505-2E9C-101B-9397-08002B2CF9AE}" pid="9" name="Editör">
    <vt:lpwstr>Faruk Beşer</vt:lpwstr>
  </property>
  <property fmtid="{D5CDD505-2E9C-101B-9397-08002B2CF9AE}" pid="10" name="EditörYardımcısı">
    <vt:lpwstr>Hayati Yılmaz</vt:lpwstr>
  </property>
  <property fmtid="{D5CDD505-2E9C-101B-9397-08002B2CF9AE}" pid="11" name="DergiAdı">
    <vt:lpwstr>Usûl İslâm Araştırmaları</vt:lpwstr>
  </property>
  <property fmtid="{D5CDD505-2E9C-101B-9397-08002B2CF9AE}" pid="12" name="DergiAdıKısa">
    <vt:lpwstr>Usûl</vt:lpwstr>
  </property>
  <property fmtid="{D5CDD505-2E9C-101B-9397-08002B2CF9AE}" pid="13" name="Dil">
    <vt:lpwstr>Türkçe</vt:lpwstr>
  </property>
</Properties>
</file>